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20BD" w14:textId="5B69FB30" w:rsidR="00B05630" w:rsidRPr="000524E8" w:rsidRDefault="00B05630" w:rsidP="00B05630">
      <w:pPr>
        <w:jc w:val="center"/>
        <w:rPr>
          <w:rFonts w:ascii="Times New Roman" w:hAnsi="Times New Roman" w:cs="Times New Roman"/>
          <w:b/>
          <w:bCs/>
          <w:sz w:val="24"/>
          <w:szCs w:val="24"/>
        </w:rPr>
      </w:pPr>
      <w:r w:rsidRPr="000524E8">
        <w:rPr>
          <w:rFonts w:ascii="Times New Roman" w:hAnsi="Times New Roman" w:cs="Times New Roman"/>
          <w:b/>
          <w:bCs/>
          <w:sz w:val="24"/>
          <w:szCs w:val="24"/>
        </w:rPr>
        <w:t xml:space="preserve">PROJECT NO. </w:t>
      </w:r>
      <w:r w:rsidR="00C65BFA" w:rsidRPr="000524E8">
        <w:rPr>
          <w:rFonts w:ascii="Times New Roman" w:hAnsi="Times New Roman" w:cs="Times New Roman"/>
          <w:b/>
          <w:bCs/>
          <w:sz w:val="24"/>
          <w:szCs w:val="24"/>
        </w:rPr>
        <w:t>54584</w:t>
      </w:r>
    </w:p>
    <w:p w14:paraId="17C71912" w14:textId="77777777" w:rsidR="00B05630" w:rsidRPr="000524E8" w:rsidRDefault="00B05630">
      <w:pPr>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540"/>
        <w:gridCol w:w="4675"/>
      </w:tblGrid>
      <w:tr w:rsidR="00F62C01" w:rsidRPr="000524E8" w14:paraId="204FB01D" w14:textId="77777777" w:rsidTr="0073551A">
        <w:tc>
          <w:tcPr>
            <w:tcW w:w="4135" w:type="dxa"/>
          </w:tcPr>
          <w:p w14:paraId="135B7B08" w14:textId="123091A2" w:rsidR="00F62C01" w:rsidRPr="000524E8" w:rsidRDefault="00F62C01" w:rsidP="00F62C01">
            <w:pPr>
              <w:rPr>
                <w:rFonts w:ascii="Times New Roman" w:hAnsi="Times New Roman" w:cs="Times New Roman"/>
                <w:b/>
                <w:bCs/>
                <w:sz w:val="24"/>
                <w:szCs w:val="24"/>
              </w:rPr>
            </w:pPr>
            <w:r w:rsidRPr="000524E8">
              <w:rPr>
                <w:rFonts w:ascii="Times New Roman" w:hAnsi="Times New Roman" w:cs="Times New Roman"/>
                <w:b/>
                <w:bCs/>
                <w:sz w:val="24"/>
                <w:szCs w:val="24"/>
                <w:shd w:val="clear" w:color="auto" w:fill="FFFFFF"/>
              </w:rPr>
              <w:t>RELIABILITY STANDARD FOR THE ERCOT MARKET</w:t>
            </w:r>
          </w:p>
          <w:p w14:paraId="6F9A3AF4" w14:textId="77777777" w:rsidR="00F62C01" w:rsidRPr="000524E8" w:rsidRDefault="00F62C01">
            <w:pPr>
              <w:rPr>
                <w:rFonts w:ascii="Times New Roman" w:hAnsi="Times New Roman" w:cs="Times New Roman"/>
                <w:b/>
                <w:bCs/>
                <w:sz w:val="24"/>
                <w:szCs w:val="24"/>
                <w:shd w:val="clear" w:color="auto" w:fill="FFFFFF"/>
              </w:rPr>
            </w:pPr>
          </w:p>
        </w:tc>
        <w:tc>
          <w:tcPr>
            <w:tcW w:w="540" w:type="dxa"/>
          </w:tcPr>
          <w:p w14:paraId="6FDBB795" w14:textId="77777777" w:rsidR="00F62C01" w:rsidRPr="000524E8" w:rsidRDefault="00F62C01">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p w14:paraId="2ED0D6EB" w14:textId="77777777" w:rsidR="00F62C01" w:rsidRPr="000524E8" w:rsidRDefault="00F62C01">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p w14:paraId="0AD48FD1" w14:textId="1CD1CC5E" w:rsidR="00F62C01" w:rsidRPr="000524E8" w:rsidRDefault="00F62C01">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tc>
        <w:tc>
          <w:tcPr>
            <w:tcW w:w="4675" w:type="dxa"/>
          </w:tcPr>
          <w:p w14:paraId="179DEB11" w14:textId="32BF2F54" w:rsidR="00F62C01" w:rsidRPr="000524E8" w:rsidRDefault="00F62C01" w:rsidP="0073551A">
            <w:pPr>
              <w:jc w:val="cente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 xml:space="preserve">PUBLIC UTILITY COMMISSION OF </w:t>
            </w:r>
            <w:r w:rsidR="0073551A" w:rsidRPr="000524E8">
              <w:rPr>
                <w:rFonts w:ascii="Times New Roman" w:hAnsi="Times New Roman" w:cs="Times New Roman"/>
                <w:b/>
                <w:bCs/>
                <w:sz w:val="24"/>
                <w:szCs w:val="24"/>
                <w:shd w:val="clear" w:color="auto" w:fill="FFFFFF"/>
              </w:rPr>
              <w:t xml:space="preserve">                                 </w:t>
            </w:r>
            <w:r w:rsidRPr="000524E8">
              <w:rPr>
                <w:rFonts w:ascii="Times New Roman" w:hAnsi="Times New Roman" w:cs="Times New Roman"/>
                <w:b/>
                <w:bCs/>
                <w:sz w:val="24"/>
                <w:szCs w:val="24"/>
                <w:shd w:val="clear" w:color="auto" w:fill="FFFFFF"/>
              </w:rPr>
              <w:t>TEXAS</w:t>
            </w:r>
          </w:p>
        </w:tc>
      </w:tr>
    </w:tbl>
    <w:p w14:paraId="169DEC90" w14:textId="78117F48" w:rsidR="00F62C01" w:rsidRPr="000524E8" w:rsidRDefault="00F62C01">
      <w:pPr>
        <w:rPr>
          <w:rFonts w:ascii="Times New Roman" w:hAnsi="Times New Roman" w:cs="Times New Roman"/>
          <w:sz w:val="24"/>
          <w:szCs w:val="24"/>
          <w:shd w:val="clear" w:color="auto" w:fill="FFFFFF"/>
        </w:rPr>
      </w:pPr>
    </w:p>
    <w:p w14:paraId="524CF048" w14:textId="302ED67E" w:rsidR="00F62C01" w:rsidRPr="000524E8" w:rsidRDefault="0073551A" w:rsidP="0073551A">
      <w:pPr>
        <w:jc w:val="center"/>
        <w:rPr>
          <w:rFonts w:ascii="Times New Roman" w:hAnsi="Times New Roman" w:cs="Times New Roman"/>
          <w:b/>
          <w:bCs/>
          <w:sz w:val="24"/>
          <w:szCs w:val="24"/>
          <w:u w:val="single"/>
          <w:shd w:val="clear" w:color="auto" w:fill="FFFFFF"/>
        </w:rPr>
      </w:pPr>
      <w:r w:rsidRPr="000524E8">
        <w:rPr>
          <w:rFonts w:ascii="Times New Roman" w:hAnsi="Times New Roman" w:cs="Times New Roman"/>
          <w:b/>
          <w:bCs/>
          <w:sz w:val="24"/>
          <w:szCs w:val="24"/>
          <w:u w:val="single"/>
          <w:shd w:val="clear" w:color="auto" w:fill="FFFFFF"/>
        </w:rPr>
        <w:t xml:space="preserve">COMMENTS </w:t>
      </w:r>
      <w:r w:rsidR="004477DB" w:rsidRPr="000524E8">
        <w:rPr>
          <w:rFonts w:ascii="Times New Roman" w:hAnsi="Times New Roman" w:cs="Times New Roman"/>
          <w:b/>
          <w:bCs/>
          <w:sz w:val="24"/>
          <w:szCs w:val="24"/>
          <w:u w:val="single"/>
          <w:shd w:val="clear" w:color="auto" w:fill="FFFFFF"/>
        </w:rPr>
        <w:t>BY HUNT ENERGY NETWORK L.L.C.</w:t>
      </w:r>
    </w:p>
    <w:p w14:paraId="6916B561" w14:textId="77777777" w:rsidR="00C65BFA" w:rsidRDefault="00C65BFA">
      <w:pPr>
        <w:rPr>
          <w:rFonts w:ascii="Times New Roman" w:hAnsi="Times New Roman" w:cs="Times New Roman"/>
          <w:sz w:val="24"/>
          <w:szCs w:val="24"/>
        </w:rPr>
      </w:pPr>
    </w:p>
    <w:p w14:paraId="2933F3C4" w14:textId="5D71CD92" w:rsidR="00E006C2" w:rsidRDefault="00C65BFA" w:rsidP="00A143BD">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Hunt Energy Network L.L.C. (“HEN”) develops, own</w:t>
      </w:r>
      <w:r w:rsidR="00366C6A">
        <w:rPr>
          <w:rFonts w:ascii="Times New Roman" w:hAnsi="Times New Roman" w:cs="Times New Roman"/>
          <w:sz w:val="24"/>
          <w:szCs w:val="24"/>
        </w:rPr>
        <w:t>s</w:t>
      </w:r>
      <w:r>
        <w:rPr>
          <w:rFonts w:ascii="Times New Roman" w:hAnsi="Times New Roman" w:cs="Times New Roman"/>
          <w:sz w:val="24"/>
          <w:szCs w:val="24"/>
        </w:rPr>
        <w:t xml:space="preserve"> and operate</w:t>
      </w:r>
      <w:r w:rsidR="00366C6A">
        <w:rPr>
          <w:rFonts w:ascii="Times New Roman" w:hAnsi="Times New Roman" w:cs="Times New Roman"/>
          <w:sz w:val="24"/>
          <w:szCs w:val="24"/>
        </w:rPr>
        <w:t>s</w:t>
      </w:r>
      <w:r>
        <w:rPr>
          <w:rFonts w:ascii="Times New Roman" w:hAnsi="Times New Roman" w:cs="Times New Roman"/>
          <w:sz w:val="24"/>
          <w:szCs w:val="24"/>
        </w:rPr>
        <w:t xml:space="preserve"> energy storage and other generation assets</w:t>
      </w:r>
      <w:r w:rsidR="00366C6A">
        <w:rPr>
          <w:rFonts w:ascii="Times New Roman" w:hAnsi="Times New Roman" w:cs="Times New Roman"/>
          <w:sz w:val="24"/>
          <w:szCs w:val="24"/>
        </w:rPr>
        <w:t xml:space="preserve"> that are</w:t>
      </w:r>
      <w:r>
        <w:rPr>
          <w:rFonts w:ascii="Times New Roman" w:hAnsi="Times New Roman" w:cs="Times New Roman"/>
          <w:sz w:val="24"/>
          <w:szCs w:val="24"/>
        </w:rPr>
        <w:t xml:space="preserve"> interconnected at distribution voltage and fully registered </w:t>
      </w:r>
      <w:r w:rsidR="00366C6A">
        <w:rPr>
          <w:rFonts w:ascii="Times New Roman" w:hAnsi="Times New Roman" w:cs="Times New Roman"/>
          <w:sz w:val="24"/>
          <w:szCs w:val="24"/>
        </w:rPr>
        <w:t xml:space="preserve">to </w:t>
      </w:r>
      <w:r>
        <w:rPr>
          <w:rFonts w:ascii="Times New Roman" w:hAnsi="Times New Roman" w:cs="Times New Roman"/>
          <w:sz w:val="24"/>
          <w:szCs w:val="24"/>
        </w:rPr>
        <w:t>participat</w:t>
      </w:r>
      <w:r w:rsidR="00366C6A">
        <w:rPr>
          <w:rFonts w:ascii="Times New Roman" w:hAnsi="Times New Roman" w:cs="Times New Roman"/>
          <w:sz w:val="24"/>
          <w:szCs w:val="24"/>
        </w:rPr>
        <w:t>e</w:t>
      </w:r>
      <w:r>
        <w:rPr>
          <w:rFonts w:ascii="Times New Roman" w:hAnsi="Times New Roman" w:cs="Times New Roman"/>
          <w:sz w:val="24"/>
          <w:szCs w:val="24"/>
        </w:rPr>
        <w:t xml:space="preserve"> in the ERCOT energy and ancillary services markets. </w:t>
      </w:r>
      <w:r w:rsidR="00A143BD">
        <w:rPr>
          <w:rFonts w:ascii="Times New Roman" w:hAnsi="Times New Roman" w:cs="Times New Roman"/>
          <w:sz w:val="24"/>
          <w:szCs w:val="24"/>
        </w:rPr>
        <w:t xml:space="preserve"> HEN recommends that the Commission </w:t>
      </w:r>
      <w:r w:rsidR="00366C6A">
        <w:rPr>
          <w:rFonts w:ascii="Times New Roman" w:hAnsi="Times New Roman" w:cs="Times New Roman"/>
          <w:sz w:val="24"/>
          <w:szCs w:val="24"/>
        </w:rPr>
        <w:t>adopt</w:t>
      </w:r>
      <w:r w:rsidR="00A143BD">
        <w:rPr>
          <w:rFonts w:ascii="Times New Roman" w:hAnsi="Times New Roman" w:cs="Times New Roman"/>
          <w:sz w:val="24"/>
          <w:szCs w:val="24"/>
        </w:rPr>
        <w:t xml:space="preserve"> the Expected Unserved Energy (“EUE”) as the appropriate reliability standard for the reasons explained below</w:t>
      </w:r>
      <w:r w:rsidR="00E006C2">
        <w:rPr>
          <w:rFonts w:ascii="Times New Roman" w:hAnsi="Times New Roman" w:cs="Times New Roman"/>
          <w:sz w:val="24"/>
          <w:szCs w:val="24"/>
        </w:rPr>
        <w:t xml:space="preserve"> in response to the Commission’s first three questions</w:t>
      </w:r>
      <w:r w:rsidR="00A143BD">
        <w:rPr>
          <w:rFonts w:ascii="Times New Roman" w:hAnsi="Times New Roman" w:cs="Times New Roman"/>
          <w:sz w:val="24"/>
          <w:szCs w:val="24"/>
        </w:rPr>
        <w:t xml:space="preserve">. </w:t>
      </w:r>
      <w:r w:rsidR="0065042D">
        <w:rPr>
          <w:rFonts w:ascii="Times New Roman" w:hAnsi="Times New Roman" w:cs="Times New Roman"/>
          <w:sz w:val="24"/>
          <w:szCs w:val="24"/>
        </w:rPr>
        <w:t>It</w:t>
      </w:r>
      <w:r w:rsidR="00366C6A">
        <w:rPr>
          <w:rFonts w:ascii="Times New Roman" w:hAnsi="Times New Roman" w:cs="Times New Roman"/>
          <w:sz w:val="24"/>
          <w:szCs w:val="24"/>
        </w:rPr>
        <w:t xml:space="preserve"> is</w:t>
      </w:r>
      <w:r w:rsidR="0065042D">
        <w:rPr>
          <w:rFonts w:ascii="Times New Roman" w:hAnsi="Times New Roman" w:cs="Times New Roman"/>
          <w:sz w:val="24"/>
          <w:szCs w:val="24"/>
        </w:rPr>
        <w:t xml:space="preserve"> also important that t</w:t>
      </w:r>
      <w:r w:rsidR="0065042D" w:rsidRPr="0065042D">
        <w:rPr>
          <w:rFonts w:ascii="Times New Roman" w:hAnsi="Times New Roman" w:cs="Times New Roman"/>
          <w:sz w:val="24"/>
          <w:szCs w:val="24"/>
        </w:rPr>
        <w:t>he EUE measure (or whatever reliability standard is selected) account for correlated common mode failure where one event causes multiple systems to fail, such as the outage of many natural gas resources and wind resources during a severe winter storm.</w:t>
      </w:r>
    </w:p>
    <w:p w14:paraId="343A8313" w14:textId="77B15B25" w:rsidR="00C65BFA" w:rsidRPr="004477DB" w:rsidRDefault="00F420A9" w:rsidP="00366C6A">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Establishing a meaningful reliability standard is a critical threshold step. Once the reliability standard is established, then a target Peaker Net Margin (</w:t>
      </w:r>
      <w:r w:rsidR="00366C6A">
        <w:rPr>
          <w:rFonts w:ascii="Times New Roman" w:hAnsi="Times New Roman" w:cs="Times New Roman"/>
          <w:sz w:val="24"/>
          <w:szCs w:val="24"/>
        </w:rPr>
        <w:t>“</w:t>
      </w:r>
      <w:r>
        <w:rPr>
          <w:rFonts w:ascii="Times New Roman" w:hAnsi="Times New Roman" w:cs="Times New Roman"/>
          <w:sz w:val="24"/>
          <w:szCs w:val="24"/>
        </w:rPr>
        <w:t>PNM</w:t>
      </w:r>
      <w:r w:rsidR="00366C6A">
        <w:rPr>
          <w:rFonts w:ascii="Times New Roman" w:hAnsi="Times New Roman" w:cs="Times New Roman"/>
          <w:sz w:val="24"/>
          <w:szCs w:val="24"/>
        </w:rPr>
        <w:t>”</w:t>
      </w:r>
      <w:r>
        <w:rPr>
          <w:rFonts w:ascii="Times New Roman" w:hAnsi="Times New Roman" w:cs="Times New Roman"/>
          <w:sz w:val="24"/>
          <w:szCs w:val="24"/>
        </w:rPr>
        <w:t xml:space="preserve">) as a percentage of the Net Cost of New Entry (“CONE”) can be determined as a function of the EUE.  This calculation provides the Commission with the key inputs </w:t>
      </w:r>
      <w:r w:rsidR="00366C6A">
        <w:rPr>
          <w:rFonts w:ascii="Times New Roman" w:hAnsi="Times New Roman" w:cs="Times New Roman"/>
          <w:sz w:val="24"/>
          <w:szCs w:val="24"/>
        </w:rPr>
        <w:t>necessary</w:t>
      </w:r>
      <w:r>
        <w:rPr>
          <w:rFonts w:ascii="Times New Roman" w:hAnsi="Times New Roman" w:cs="Times New Roman"/>
          <w:sz w:val="24"/>
          <w:szCs w:val="24"/>
        </w:rPr>
        <w:t xml:space="preserve"> to determine the additional revenue streams required to incent development of new resources in an amount that meets the reliability standard.   This approach to establishing the target revenue could be used in a bridging mechanism or in establishing the price for performance credits under the PCM.  The Commission has appropriately moved forward on a study to calculate the Value of Lost Load (“VOLL”), which is needed to establish the reliability standard. HEN recommends that a similar study be initiated to the update the Net CONE, which has not been updated since 2012 and does not reflect current economic conditions. With these three key inputs established, the Commission will gain a better understanding of the costs of various market design </w:t>
      </w:r>
      <w:r w:rsidR="00366C6A">
        <w:rPr>
          <w:rFonts w:ascii="Times New Roman" w:hAnsi="Times New Roman" w:cs="Times New Roman"/>
          <w:sz w:val="24"/>
          <w:szCs w:val="24"/>
        </w:rPr>
        <w:t>measures</w:t>
      </w:r>
      <w:r>
        <w:rPr>
          <w:rFonts w:ascii="Times New Roman" w:hAnsi="Times New Roman" w:cs="Times New Roman"/>
          <w:sz w:val="24"/>
          <w:szCs w:val="24"/>
        </w:rPr>
        <w:t>.</w:t>
      </w:r>
    </w:p>
    <w:p w14:paraId="06470BBA" w14:textId="77777777" w:rsidR="003A3B17" w:rsidRDefault="003A3B17" w:rsidP="00492FFF">
      <w:pPr>
        <w:spacing w:after="0" w:line="240" w:lineRule="auto"/>
        <w:rPr>
          <w:rFonts w:ascii="Times New Roman" w:hAnsi="Times New Roman" w:cs="Times New Roman"/>
          <w:b/>
          <w:bCs/>
          <w:sz w:val="24"/>
          <w:szCs w:val="24"/>
        </w:rPr>
      </w:pPr>
    </w:p>
    <w:p w14:paraId="033CA9E2" w14:textId="77777777" w:rsidR="003A3B17" w:rsidRDefault="003A3B17" w:rsidP="00492FFF">
      <w:pPr>
        <w:spacing w:after="0" w:line="240" w:lineRule="auto"/>
        <w:rPr>
          <w:rFonts w:ascii="Times New Roman" w:hAnsi="Times New Roman" w:cs="Times New Roman"/>
          <w:b/>
          <w:bCs/>
          <w:sz w:val="24"/>
          <w:szCs w:val="24"/>
        </w:rPr>
      </w:pPr>
    </w:p>
    <w:p w14:paraId="2849C5DF" w14:textId="07C09C66" w:rsidR="002D611E" w:rsidRPr="00EB2535" w:rsidRDefault="002D611E" w:rsidP="00492FFF">
      <w:p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lastRenderedPageBreak/>
        <w:t xml:space="preserve">(1) The Commission has previously considered various reliability metrics, such as Loss of Load Expectation (LOLE), Loss of Load Hours (LOLH), and Expected Unserved Energy (EUE). </w:t>
      </w:r>
    </w:p>
    <w:p w14:paraId="67F031BA" w14:textId="306191F4" w:rsidR="002D611E" w:rsidRPr="00EB2535" w:rsidRDefault="002D611E" w:rsidP="00492FFF">
      <w:pPr>
        <w:pStyle w:val="ListParagraph"/>
        <w:numPr>
          <w:ilvl w:val="0"/>
          <w:numId w:val="2"/>
        </w:num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Which reliability metrics, including those not previously studied, should the Commission consider in establishing a reliability standard for the ERCOT power region? </w:t>
      </w:r>
    </w:p>
    <w:p w14:paraId="04B088E3" w14:textId="2DC74B05" w:rsidR="002D611E" w:rsidRPr="00EB2535" w:rsidRDefault="002D611E" w:rsidP="00492FFF">
      <w:pPr>
        <w:pStyle w:val="ListParagraph"/>
        <w:numPr>
          <w:ilvl w:val="0"/>
          <w:numId w:val="2"/>
        </w:num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Which reliability metric, or combination of reliability metrics, should the Commission </w:t>
      </w:r>
    </w:p>
    <w:p w14:paraId="0380178D" w14:textId="3FDC7E4F" w:rsidR="002D611E" w:rsidRPr="00EB2535" w:rsidRDefault="002D611E" w:rsidP="00492FFF">
      <w:pPr>
        <w:spacing w:after="0" w:line="240" w:lineRule="auto"/>
        <w:ind w:firstLine="720"/>
        <w:rPr>
          <w:rFonts w:ascii="Times New Roman" w:hAnsi="Times New Roman" w:cs="Times New Roman"/>
          <w:b/>
          <w:bCs/>
          <w:sz w:val="24"/>
          <w:szCs w:val="24"/>
        </w:rPr>
      </w:pPr>
      <w:r w:rsidRPr="00EB2535">
        <w:rPr>
          <w:rFonts w:ascii="Times New Roman" w:hAnsi="Times New Roman" w:cs="Times New Roman"/>
          <w:b/>
          <w:bCs/>
          <w:sz w:val="24"/>
          <w:szCs w:val="24"/>
        </w:rPr>
        <w:t>adopt f</w:t>
      </w:r>
      <w:r w:rsidR="00492FFF" w:rsidRPr="00EB2535">
        <w:rPr>
          <w:rFonts w:ascii="Times New Roman" w:hAnsi="Times New Roman" w:cs="Times New Roman"/>
          <w:b/>
          <w:bCs/>
          <w:sz w:val="24"/>
          <w:szCs w:val="24"/>
        </w:rPr>
        <w:t>o</w:t>
      </w:r>
      <w:r w:rsidRPr="00EB2535">
        <w:rPr>
          <w:rFonts w:ascii="Times New Roman" w:hAnsi="Times New Roman" w:cs="Times New Roman"/>
          <w:b/>
          <w:bCs/>
          <w:sz w:val="24"/>
          <w:szCs w:val="24"/>
        </w:rPr>
        <w:t xml:space="preserve">r the reliability standard in ERCOT? </w:t>
      </w:r>
    </w:p>
    <w:p w14:paraId="641440B5" w14:textId="1D0DFDB3" w:rsidR="002D611E" w:rsidRPr="00EB2535" w:rsidRDefault="002D611E" w:rsidP="00492FFF">
      <w:pPr>
        <w:pStyle w:val="ListParagraph"/>
        <w:numPr>
          <w:ilvl w:val="0"/>
          <w:numId w:val="3"/>
        </w:num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What are the advantages of your chosen reliability metrics, and what are the </w:t>
      </w:r>
    </w:p>
    <w:p w14:paraId="78033A57" w14:textId="6D7E942A" w:rsidR="002D611E" w:rsidRPr="00EB2535" w:rsidRDefault="002D611E" w:rsidP="00DF06C9">
      <w:pPr>
        <w:spacing w:after="0" w:line="240" w:lineRule="auto"/>
        <w:ind w:firstLine="720"/>
        <w:rPr>
          <w:rFonts w:ascii="Times New Roman" w:hAnsi="Times New Roman" w:cs="Times New Roman"/>
          <w:b/>
          <w:bCs/>
          <w:sz w:val="24"/>
          <w:szCs w:val="24"/>
        </w:rPr>
      </w:pPr>
      <w:r w:rsidRPr="00EB2535">
        <w:rPr>
          <w:rFonts w:ascii="Times New Roman" w:hAnsi="Times New Roman" w:cs="Times New Roman"/>
          <w:b/>
          <w:bCs/>
          <w:sz w:val="24"/>
          <w:szCs w:val="24"/>
        </w:rPr>
        <w:t>disadva</w:t>
      </w:r>
      <w:r w:rsidR="00492FFF" w:rsidRPr="00EB2535">
        <w:rPr>
          <w:rFonts w:ascii="Times New Roman" w:hAnsi="Times New Roman" w:cs="Times New Roman"/>
          <w:b/>
          <w:bCs/>
          <w:sz w:val="24"/>
          <w:szCs w:val="24"/>
        </w:rPr>
        <w:t>n</w:t>
      </w:r>
      <w:r w:rsidRPr="00EB2535">
        <w:rPr>
          <w:rFonts w:ascii="Times New Roman" w:hAnsi="Times New Roman" w:cs="Times New Roman"/>
          <w:b/>
          <w:bCs/>
          <w:sz w:val="24"/>
          <w:szCs w:val="24"/>
        </w:rPr>
        <w:t xml:space="preserve">tages of alternative approaches? </w:t>
      </w:r>
    </w:p>
    <w:p w14:paraId="2C06EEB8" w14:textId="452AA5B0" w:rsidR="00DF06C9" w:rsidRDefault="00DF06C9" w:rsidP="00DF06C9">
      <w:pPr>
        <w:spacing w:after="0" w:line="240" w:lineRule="auto"/>
        <w:ind w:firstLine="720"/>
        <w:rPr>
          <w:rFonts w:ascii="Times New Roman" w:hAnsi="Times New Roman" w:cs="Times New Roman"/>
          <w:b/>
          <w:bCs/>
          <w:sz w:val="24"/>
          <w:szCs w:val="24"/>
        </w:rPr>
      </w:pPr>
    </w:p>
    <w:p w14:paraId="0574BB51" w14:textId="6F777DE1" w:rsidR="00F84A4A" w:rsidRDefault="00F84A4A" w:rsidP="00B05630">
      <w:pPr>
        <w:spacing w:line="360" w:lineRule="auto"/>
        <w:ind w:firstLine="720"/>
        <w:jc w:val="both"/>
        <w:rPr>
          <w:rFonts w:ascii="Times New Roman" w:hAnsi="Times New Roman" w:cs="Times New Roman"/>
          <w:sz w:val="24"/>
          <w:szCs w:val="24"/>
        </w:rPr>
      </w:pPr>
      <w:r w:rsidRPr="00DD3145">
        <w:rPr>
          <w:rFonts w:ascii="Times New Roman" w:hAnsi="Times New Roman" w:cs="Times New Roman"/>
          <w:sz w:val="24"/>
          <w:szCs w:val="24"/>
        </w:rPr>
        <w:t>HEN recommends that the Commission consider a different standard than the</w:t>
      </w:r>
      <w:r w:rsidR="00C65BFA">
        <w:rPr>
          <w:rFonts w:ascii="Times New Roman" w:hAnsi="Times New Roman" w:cs="Times New Roman"/>
          <w:sz w:val="24"/>
          <w:szCs w:val="24"/>
        </w:rPr>
        <w:t xml:space="preserve"> Loss of load Expectation (“</w:t>
      </w:r>
      <w:r w:rsidRPr="00DD3145">
        <w:rPr>
          <w:rFonts w:ascii="Times New Roman" w:hAnsi="Times New Roman" w:cs="Times New Roman"/>
          <w:sz w:val="24"/>
          <w:szCs w:val="24"/>
        </w:rPr>
        <w:t>LOLE</w:t>
      </w:r>
      <w:r w:rsidR="00C65BFA">
        <w:rPr>
          <w:rFonts w:ascii="Times New Roman" w:hAnsi="Times New Roman" w:cs="Times New Roman"/>
          <w:sz w:val="24"/>
          <w:szCs w:val="24"/>
        </w:rPr>
        <w:t>”)</w:t>
      </w:r>
      <w:r w:rsidRPr="00DD3145">
        <w:rPr>
          <w:rFonts w:ascii="Times New Roman" w:hAnsi="Times New Roman" w:cs="Times New Roman"/>
          <w:sz w:val="24"/>
          <w:szCs w:val="24"/>
        </w:rPr>
        <w:t xml:space="preserve">. </w:t>
      </w:r>
      <w:r w:rsidR="00C65BFA">
        <w:rPr>
          <w:rFonts w:ascii="Times New Roman" w:hAnsi="Times New Roman" w:cs="Times New Roman"/>
          <w:sz w:val="24"/>
          <w:szCs w:val="24"/>
        </w:rPr>
        <w:t xml:space="preserve"> The </w:t>
      </w:r>
      <w:r w:rsidRPr="00DD3145">
        <w:rPr>
          <w:rFonts w:ascii="Times New Roman" w:hAnsi="Times New Roman" w:cs="Times New Roman"/>
          <w:sz w:val="24"/>
          <w:szCs w:val="24"/>
        </w:rPr>
        <w:t xml:space="preserve">LOLE does not capture the significance or magnitude of a load loss event.  For example, using the LOLE standard, a 24-hour loss of </w:t>
      </w:r>
      <w:r>
        <w:rPr>
          <w:rFonts w:ascii="Times New Roman" w:hAnsi="Times New Roman" w:cs="Times New Roman"/>
          <w:sz w:val="24"/>
          <w:szCs w:val="24"/>
        </w:rPr>
        <w:t>2</w:t>
      </w:r>
      <w:r w:rsidRPr="00DD3145">
        <w:rPr>
          <w:rFonts w:ascii="Times New Roman" w:hAnsi="Times New Roman" w:cs="Times New Roman"/>
          <w:sz w:val="24"/>
          <w:szCs w:val="24"/>
        </w:rPr>
        <w:t>0,000 MW and a one hour loss of 1</w:t>
      </w:r>
      <w:r>
        <w:rPr>
          <w:rFonts w:ascii="Times New Roman" w:hAnsi="Times New Roman" w:cs="Times New Roman"/>
          <w:sz w:val="24"/>
          <w:szCs w:val="24"/>
        </w:rPr>
        <w:t>00</w:t>
      </w:r>
      <w:r w:rsidRPr="00DD3145">
        <w:rPr>
          <w:rFonts w:ascii="Times New Roman" w:hAnsi="Times New Roman" w:cs="Times New Roman"/>
          <w:sz w:val="24"/>
          <w:szCs w:val="24"/>
        </w:rPr>
        <w:t xml:space="preserve"> MW </w:t>
      </w:r>
      <w:r>
        <w:rPr>
          <w:rFonts w:ascii="Times New Roman" w:hAnsi="Times New Roman" w:cs="Times New Roman"/>
          <w:sz w:val="24"/>
          <w:szCs w:val="24"/>
        </w:rPr>
        <w:t>are each considered one</w:t>
      </w:r>
      <w:r w:rsidRPr="00DD3145">
        <w:rPr>
          <w:rFonts w:ascii="Times New Roman" w:hAnsi="Times New Roman" w:cs="Times New Roman"/>
          <w:sz w:val="24"/>
          <w:szCs w:val="24"/>
        </w:rPr>
        <w:t xml:space="preserve"> day of lost load, even though one loss was severe and potentially catastrophic and the other was a relatively minor event.</w:t>
      </w:r>
      <w:r>
        <w:rPr>
          <w:rFonts w:ascii="Times New Roman" w:hAnsi="Times New Roman" w:cs="Times New Roman"/>
          <w:sz w:val="24"/>
          <w:szCs w:val="24"/>
        </w:rPr>
        <w:t xml:space="preserve">  The Expected Unserved Energy (</w:t>
      </w:r>
      <w:r w:rsidR="00A143BD">
        <w:rPr>
          <w:rFonts w:ascii="Times New Roman" w:hAnsi="Times New Roman" w:cs="Times New Roman"/>
          <w:sz w:val="24"/>
          <w:szCs w:val="24"/>
        </w:rPr>
        <w:t>“</w:t>
      </w:r>
      <w:r>
        <w:rPr>
          <w:rFonts w:ascii="Times New Roman" w:hAnsi="Times New Roman" w:cs="Times New Roman"/>
          <w:sz w:val="24"/>
          <w:szCs w:val="24"/>
        </w:rPr>
        <w:t>EUE</w:t>
      </w:r>
      <w:r w:rsidR="00A143BD">
        <w:rPr>
          <w:rFonts w:ascii="Times New Roman" w:hAnsi="Times New Roman" w:cs="Times New Roman"/>
          <w:sz w:val="24"/>
          <w:szCs w:val="24"/>
        </w:rPr>
        <w:t>”</w:t>
      </w:r>
      <w:r>
        <w:rPr>
          <w:rFonts w:ascii="Times New Roman" w:hAnsi="Times New Roman" w:cs="Times New Roman"/>
          <w:sz w:val="24"/>
          <w:szCs w:val="24"/>
        </w:rPr>
        <w:t>) standard instead measures the expected unserved MWh for the year.  Using a Value of Lost Load (</w:t>
      </w:r>
      <w:r w:rsidR="00A143BD">
        <w:rPr>
          <w:rFonts w:ascii="Times New Roman" w:hAnsi="Times New Roman" w:cs="Times New Roman"/>
          <w:sz w:val="24"/>
          <w:szCs w:val="24"/>
        </w:rPr>
        <w:t>“</w:t>
      </w:r>
      <w:r>
        <w:rPr>
          <w:rFonts w:ascii="Times New Roman" w:hAnsi="Times New Roman" w:cs="Times New Roman"/>
          <w:sz w:val="24"/>
          <w:szCs w:val="24"/>
        </w:rPr>
        <w:t>VOLL</w:t>
      </w:r>
      <w:r w:rsidR="00A143BD">
        <w:rPr>
          <w:rFonts w:ascii="Times New Roman" w:hAnsi="Times New Roman" w:cs="Times New Roman"/>
          <w:sz w:val="24"/>
          <w:szCs w:val="24"/>
        </w:rPr>
        <w:t>”</w:t>
      </w:r>
      <w:r>
        <w:rPr>
          <w:rFonts w:ascii="Times New Roman" w:hAnsi="Times New Roman" w:cs="Times New Roman"/>
          <w:sz w:val="24"/>
          <w:szCs w:val="24"/>
        </w:rPr>
        <w:t>) and a net Cost of New Entry (</w:t>
      </w:r>
      <w:r w:rsidR="00A143BD">
        <w:rPr>
          <w:rFonts w:ascii="Times New Roman" w:hAnsi="Times New Roman" w:cs="Times New Roman"/>
          <w:sz w:val="24"/>
          <w:szCs w:val="24"/>
        </w:rPr>
        <w:t>“</w:t>
      </w:r>
      <w:r>
        <w:rPr>
          <w:rFonts w:ascii="Times New Roman" w:hAnsi="Times New Roman" w:cs="Times New Roman"/>
          <w:sz w:val="24"/>
          <w:szCs w:val="24"/>
        </w:rPr>
        <w:t>CONE</w:t>
      </w:r>
      <w:r w:rsidR="00A143BD">
        <w:rPr>
          <w:rFonts w:ascii="Times New Roman" w:hAnsi="Times New Roman" w:cs="Times New Roman"/>
          <w:sz w:val="24"/>
          <w:szCs w:val="24"/>
        </w:rPr>
        <w:t>”</w:t>
      </w:r>
      <w:r>
        <w:rPr>
          <w:rFonts w:ascii="Times New Roman" w:hAnsi="Times New Roman" w:cs="Times New Roman"/>
          <w:sz w:val="24"/>
          <w:szCs w:val="24"/>
        </w:rPr>
        <w:t xml:space="preserve">), the economically optimal value of EUE can be determined. </w:t>
      </w:r>
    </w:p>
    <w:p w14:paraId="746BA3EE" w14:textId="77777777" w:rsidR="00366C6A" w:rsidRDefault="00366C6A" w:rsidP="00B0563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addition to using the EUE as the reliability standard, correlated common mode failures need to be taken into consideration. </w:t>
      </w:r>
      <w:r w:rsidR="00561C30">
        <w:rPr>
          <w:rFonts w:ascii="Times New Roman" w:hAnsi="Times New Roman" w:cs="Times New Roman"/>
          <w:sz w:val="24"/>
          <w:szCs w:val="24"/>
        </w:rPr>
        <w:t>T</w:t>
      </w:r>
      <w:r w:rsidR="00F84A4A">
        <w:rPr>
          <w:rFonts w:ascii="Times New Roman" w:hAnsi="Times New Roman" w:cs="Times New Roman"/>
          <w:sz w:val="24"/>
          <w:szCs w:val="24"/>
        </w:rPr>
        <w:t xml:space="preserve">raditional </w:t>
      </w:r>
      <w:r w:rsidR="00F6664C">
        <w:rPr>
          <w:rFonts w:ascii="Times New Roman" w:hAnsi="Times New Roman" w:cs="Times New Roman"/>
          <w:sz w:val="24"/>
          <w:szCs w:val="24"/>
        </w:rPr>
        <w:t xml:space="preserve">methods of calculating </w:t>
      </w:r>
      <w:r w:rsidR="00F84A4A">
        <w:rPr>
          <w:rFonts w:ascii="Times New Roman" w:hAnsi="Times New Roman" w:cs="Times New Roman"/>
          <w:sz w:val="24"/>
          <w:szCs w:val="24"/>
        </w:rPr>
        <w:t xml:space="preserve">reliability </w:t>
      </w:r>
      <w:r w:rsidR="00F6664C">
        <w:rPr>
          <w:rFonts w:ascii="Times New Roman" w:hAnsi="Times New Roman" w:cs="Times New Roman"/>
          <w:sz w:val="24"/>
          <w:szCs w:val="24"/>
        </w:rPr>
        <w:t>measures</w:t>
      </w:r>
      <w:r w:rsidR="00F84A4A">
        <w:rPr>
          <w:rFonts w:ascii="Times New Roman" w:hAnsi="Times New Roman" w:cs="Times New Roman"/>
          <w:sz w:val="24"/>
          <w:szCs w:val="24"/>
        </w:rPr>
        <w:t xml:space="preserve"> (whether LOLE or EUE) </w:t>
      </w:r>
      <w:r w:rsidR="00F6664C">
        <w:rPr>
          <w:rFonts w:ascii="Times New Roman" w:hAnsi="Times New Roman" w:cs="Times New Roman"/>
          <w:sz w:val="24"/>
          <w:szCs w:val="24"/>
        </w:rPr>
        <w:t>typically exclude</w:t>
      </w:r>
      <w:r w:rsidR="00F84A4A">
        <w:rPr>
          <w:rFonts w:ascii="Times New Roman" w:hAnsi="Times New Roman" w:cs="Times New Roman"/>
          <w:sz w:val="24"/>
          <w:szCs w:val="24"/>
        </w:rPr>
        <w:t xml:space="preserve"> extreme weather event</w:t>
      </w:r>
      <w:r w:rsidR="00F6664C">
        <w:rPr>
          <w:rFonts w:ascii="Times New Roman" w:hAnsi="Times New Roman" w:cs="Times New Roman"/>
          <w:sz w:val="24"/>
          <w:szCs w:val="24"/>
        </w:rPr>
        <w:t>s</w:t>
      </w:r>
      <w:r w:rsidR="00F84A4A">
        <w:rPr>
          <w:rFonts w:ascii="Times New Roman" w:hAnsi="Times New Roman" w:cs="Times New Roman"/>
          <w:sz w:val="24"/>
          <w:szCs w:val="24"/>
        </w:rPr>
        <w:t xml:space="preserve"> since the traditional reliability standards are designed for expected outcomes </w:t>
      </w:r>
      <w:r w:rsidR="00561C30">
        <w:rPr>
          <w:rFonts w:ascii="Times New Roman" w:hAnsi="Times New Roman" w:cs="Times New Roman"/>
          <w:sz w:val="24"/>
          <w:szCs w:val="24"/>
        </w:rPr>
        <w:t>that do not account for</w:t>
      </w:r>
      <w:r w:rsidR="00F84A4A">
        <w:rPr>
          <w:rFonts w:ascii="Times New Roman" w:hAnsi="Times New Roman" w:cs="Times New Roman"/>
          <w:sz w:val="24"/>
          <w:szCs w:val="24"/>
        </w:rPr>
        <w:t xml:space="preserve"> extreme event</w:t>
      </w:r>
      <w:r w:rsidR="00561C30">
        <w:rPr>
          <w:rFonts w:ascii="Times New Roman" w:hAnsi="Times New Roman" w:cs="Times New Roman"/>
          <w:sz w:val="24"/>
          <w:szCs w:val="24"/>
        </w:rPr>
        <w:t>s</w:t>
      </w:r>
      <w:r w:rsidR="00F84A4A">
        <w:rPr>
          <w:rFonts w:ascii="Times New Roman" w:hAnsi="Times New Roman" w:cs="Times New Roman"/>
          <w:sz w:val="24"/>
          <w:szCs w:val="24"/>
        </w:rPr>
        <w:t xml:space="preserve">. </w:t>
      </w:r>
      <w:r w:rsidR="00F6664C" w:rsidRPr="00F6664C">
        <w:rPr>
          <w:rFonts w:ascii="Times New Roman" w:hAnsi="Times New Roman" w:cs="Times New Roman"/>
          <w:sz w:val="24"/>
          <w:szCs w:val="24"/>
        </w:rPr>
        <w:t xml:space="preserve">The EUE measure (or whatever reliability standard is selected) needs to account for </w:t>
      </w:r>
      <w:r w:rsidR="00F6664C" w:rsidRPr="00F6664C">
        <w:rPr>
          <w:rFonts w:ascii="Times New Roman" w:hAnsi="Times New Roman" w:cs="Times New Roman"/>
          <w:b/>
          <w:bCs/>
          <w:sz w:val="24"/>
          <w:szCs w:val="24"/>
        </w:rPr>
        <w:t>correlated common mode failure</w:t>
      </w:r>
      <w:r w:rsidR="00F6664C" w:rsidRPr="00F6664C">
        <w:rPr>
          <w:rFonts w:ascii="Times New Roman" w:hAnsi="Times New Roman" w:cs="Times New Roman"/>
          <w:sz w:val="24"/>
          <w:szCs w:val="24"/>
        </w:rPr>
        <w:t xml:space="preserve"> whe</w:t>
      </w:r>
      <w:r w:rsidR="00F6664C">
        <w:rPr>
          <w:rFonts w:ascii="Times New Roman" w:hAnsi="Times New Roman" w:cs="Times New Roman"/>
          <w:sz w:val="24"/>
          <w:szCs w:val="24"/>
        </w:rPr>
        <w:t>re</w:t>
      </w:r>
      <w:r w:rsidR="00F6664C" w:rsidRPr="00F6664C">
        <w:rPr>
          <w:rFonts w:ascii="Times New Roman" w:hAnsi="Times New Roman" w:cs="Times New Roman"/>
          <w:sz w:val="24"/>
          <w:szCs w:val="24"/>
        </w:rPr>
        <w:t xml:space="preserve"> one event causes multiple systems to fail, such as the outage of many natural gas resources and wind resources during a severe winter storm. </w:t>
      </w:r>
    </w:p>
    <w:p w14:paraId="60ACDE3E" w14:textId="1C944D6B" w:rsidR="00F6664C" w:rsidRDefault="00F6664C" w:rsidP="00B05630">
      <w:pPr>
        <w:spacing w:line="360" w:lineRule="auto"/>
        <w:ind w:firstLine="720"/>
        <w:jc w:val="both"/>
        <w:rPr>
          <w:rFonts w:ascii="Times New Roman" w:hAnsi="Times New Roman" w:cs="Times New Roman"/>
          <w:sz w:val="24"/>
          <w:szCs w:val="24"/>
        </w:rPr>
      </w:pPr>
      <w:r w:rsidRPr="00F6664C">
        <w:rPr>
          <w:rFonts w:ascii="Times New Roman" w:hAnsi="Times New Roman" w:cs="Times New Roman"/>
          <w:sz w:val="24"/>
          <w:szCs w:val="24"/>
        </w:rPr>
        <w:t>With the addition of massive amounts of new solar and battery storage facilities, prolonged load shed during the summer is unlikely except possibly during an extreme drought accompanied with extreme heat. Even though an extreme winter storm may be a one-in-ten-year event</w:t>
      </w:r>
      <w:r>
        <w:rPr>
          <w:rFonts w:ascii="Times New Roman" w:hAnsi="Times New Roman" w:cs="Times New Roman"/>
          <w:sz w:val="24"/>
          <w:szCs w:val="24"/>
        </w:rPr>
        <w:t xml:space="preserve"> or even less frequent event</w:t>
      </w:r>
      <w:r w:rsidRPr="00F6664C">
        <w:rPr>
          <w:rFonts w:ascii="Times New Roman" w:hAnsi="Times New Roman" w:cs="Times New Roman"/>
          <w:sz w:val="24"/>
          <w:szCs w:val="24"/>
        </w:rPr>
        <w:t xml:space="preserve">, it is the greatest risk and contributor to EUE if common mode failure is </w:t>
      </w:r>
      <w:r w:rsidR="00366C6A">
        <w:rPr>
          <w:rFonts w:ascii="Times New Roman" w:hAnsi="Times New Roman" w:cs="Times New Roman"/>
          <w:sz w:val="24"/>
          <w:szCs w:val="24"/>
        </w:rPr>
        <w:t>considered.</w:t>
      </w:r>
      <w:r w:rsidRPr="00F6664C">
        <w:rPr>
          <w:rFonts w:ascii="Times New Roman" w:hAnsi="Times New Roman" w:cs="Times New Roman"/>
          <w:sz w:val="24"/>
          <w:szCs w:val="24"/>
        </w:rPr>
        <w:t xml:space="preserve"> Thus, if during a </w:t>
      </w:r>
      <w:r>
        <w:rPr>
          <w:rFonts w:ascii="Times New Roman" w:hAnsi="Times New Roman" w:cs="Times New Roman"/>
          <w:sz w:val="24"/>
          <w:szCs w:val="24"/>
        </w:rPr>
        <w:t xml:space="preserve">one-in-twenty-year (0.05 probability of occurrence in any one year) </w:t>
      </w:r>
      <w:r w:rsidRPr="00F6664C">
        <w:rPr>
          <w:rFonts w:ascii="Times New Roman" w:hAnsi="Times New Roman" w:cs="Times New Roman"/>
          <w:sz w:val="24"/>
          <w:szCs w:val="24"/>
        </w:rPr>
        <w:t>severe winter storm</w:t>
      </w:r>
      <w:r w:rsidR="00366C6A">
        <w:rPr>
          <w:rFonts w:ascii="Times New Roman" w:hAnsi="Times New Roman" w:cs="Times New Roman"/>
          <w:sz w:val="24"/>
          <w:szCs w:val="24"/>
        </w:rPr>
        <w:t>,</w:t>
      </w:r>
      <w:r w:rsidRPr="00F6664C">
        <w:rPr>
          <w:rFonts w:ascii="Times New Roman" w:hAnsi="Times New Roman" w:cs="Times New Roman"/>
          <w:sz w:val="24"/>
          <w:szCs w:val="24"/>
        </w:rPr>
        <w:t xml:space="preserve"> 10,000 MW of load is shed (roughly based on latest winter SARA taking into account Phase 1 market design improvements) for 72 hours, EUE</w:t>
      </w:r>
      <w:r w:rsidR="00561C30">
        <w:rPr>
          <w:rFonts w:ascii="Times New Roman" w:hAnsi="Times New Roman" w:cs="Times New Roman"/>
          <w:sz w:val="24"/>
          <w:szCs w:val="24"/>
        </w:rPr>
        <w:t xml:space="preserve"> contribution from this single </w:t>
      </w:r>
      <w:r w:rsidR="00561C30">
        <w:rPr>
          <w:rFonts w:ascii="Times New Roman" w:hAnsi="Times New Roman" w:cs="Times New Roman"/>
          <w:sz w:val="24"/>
          <w:szCs w:val="24"/>
        </w:rPr>
        <w:lastRenderedPageBreak/>
        <w:t>event</w:t>
      </w:r>
      <w:r w:rsidRPr="00F6664C">
        <w:rPr>
          <w:rFonts w:ascii="Times New Roman" w:hAnsi="Times New Roman" w:cs="Times New Roman"/>
          <w:sz w:val="24"/>
          <w:szCs w:val="24"/>
        </w:rPr>
        <w:t xml:space="preserve"> would be 0.</w:t>
      </w:r>
      <w:r>
        <w:rPr>
          <w:rFonts w:ascii="Times New Roman" w:hAnsi="Times New Roman" w:cs="Times New Roman"/>
          <w:sz w:val="24"/>
          <w:szCs w:val="24"/>
        </w:rPr>
        <w:t>05</w:t>
      </w:r>
      <w:r w:rsidRPr="00F6664C">
        <w:rPr>
          <w:rFonts w:ascii="Times New Roman" w:hAnsi="Times New Roman" w:cs="Times New Roman"/>
          <w:sz w:val="24"/>
          <w:szCs w:val="24"/>
        </w:rPr>
        <w:t xml:space="preserve">x10,000x72 = </w:t>
      </w:r>
      <w:r>
        <w:rPr>
          <w:rFonts w:ascii="Times New Roman" w:hAnsi="Times New Roman" w:cs="Times New Roman"/>
          <w:sz w:val="24"/>
          <w:szCs w:val="24"/>
        </w:rPr>
        <w:t>36</w:t>
      </w:r>
      <w:r w:rsidRPr="00F6664C">
        <w:rPr>
          <w:rFonts w:ascii="Times New Roman" w:hAnsi="Times New Roman" w:cs="Times New Roman"/>
          <w:sz w:val="24"/>
          <w:szCs w:val="24"/>
        </w:rPr>
        <w:t>,000 MWh</w:t>
      </w:r>
      <w:r>
        <w:rPr>
          <w:rFonts w:ascii="Times New Roman" w:hAnsi="Times New Roman" w:cs="Times New Roman"/>
          <w:sz w:val="24"/>
          <w:szCs w:val="24"/>
        </w:rPr>
        <w:t xml:space="preserve"> – likely a significant contributor to the overall </w:t>
      </w:r>
      <w:r w:rsidR="00561C30">
        <w:rPr>
          <w:rFonts w:ascii="Times New Roman" w:hAnsi="Times New Roman" w:cs="Times New Roman"/>
          <w:sz w:val="24"/>
          <w:szCs w:val="24"/>
        </w:rPr>
        <w:t xml:space="preserve">annual </w:t>
      </w:r>
      <w:r>
        <w:rPr>
          <w:rFonts w:ascii="Times New Roman" w:hAnsi="Times New Roman" w:cs="Times New Roman"/>
          <w:sz w:val="24"/>
          <w:szCs w:val="24"/>
        </w:rPr>
        <w:t>EUE measure even though it’s a relatively infrequent event</w:t>
      </w:r>
      <w:r w:rsidRPr="00F6664C">
        <w:rPr>
          <w:rFonts w:ascii="Times New Roman" w:hAnsi="Times New Roman" w:cs="Times New Roman"/>
          <w:sz w:val="24"/>
          <w:szCs w:val="24"/>
        </w:rPr>
        <w:t>. Th</w:t>
      </w:r>
      <w:r>
        <w:rPr>
          <w:rFonts w:ascii="Times New Roman" w:hAnsi="Times New Roman" w:cs="Times New Roman"/>
          <w:sz w:val="24"/>
          <w:szCs w:val="24"/>
        </w:rPr>
        <w:t xml:space="preserve">e EUE </w:t>
      </w:r>
      <w:r w:rsidR="00561C30">
        <w:rPr>
          <w:rFonts w:ascii="Times New Roman" w:hAnsi="Times New Roman" w:cs="Times New Roman"/>
          <w:sz w:val="24"/>
          <w:szCs w:val="24"/>
        </w:rPr>
        <w:t>measure</w:t>
      </w:r>
      <w:r>
        <w:rPr>
          <w:rFonts w:ascii="Times New Roman" w:hAnsi="Times New Roman" w:cs="Times New Roman"/>
          <w:sz w:val="24"/>
          <w:szCs w:val="24"/>
        </w:rPr>
        <w:t xml:space="preserve"> must</w:t>
      </w:r>
      <w:r w:rsidR="00D40669">
        <w:rPr>
          <w:rFonts w:ascii="Times New Roman" w:hAnsi="Times New Roman" w:cs="Times New Roman"/>
          <w:sz w:val="24"/>
          <w:szCs w:val="24"/>
        </w:rPr>
        <w:t xml:space="preserve"> be established taking</w:t>
      </w:r>
      <w:r>
        <w:rPr>
          <w:rFonts w:ascii="Times New Roman" w:hAnsi="Times New Roman" w:cs="Times New Roman"/>
          <w:sz w:val="24"/>
          <w:szCs w:val="24"/>
        </w:rPr>
        <w:t xml:space="preserve"> into account such infrequent</w:t>
      </w:r>
      <w:r w:rsidR="00561C30">
        <w:rPr>
          <w:rFonts w:ascii="Times New Roman" w:hAnsi="Times New Roman" w:cs="Times New Roman"/>
          <w:sz w:val="24"/>
          <w:szCs w:val="24"/>
        </w:rPr>
        <w:t xml:space="preserve"> but high impact common mode failure events</w:t>
      </w:r>
      <w:r w:rsidR="00D40669">
        <w:rPr>
          <w:rFonts w:ascii="Times New Roman" w:hAnsi="Times New Roman" w:cs="Times New Roman"/>
          <w:sz w:val="24"/>
          <w:szCs w:val="24"/>
        </w:rPr>
        <w:t>.</w:t>
      </w:r>
      <w:r w:rsidRPr="00F6664C">
        <w:rPr>
          <w:rFonts w:ascii="Times New Roman" w:hAnsi="Times New Roman" w:cs="Times New Roman"/>
          <w:sz w:val="24"/>
          <w:szCs w:val="24"/>
        </w:rPr>
        <w:t xml:space="preserve"> </w:t>
      </w:r>
    </w:p>
    <w:p w14:paraId="1EBF6BA9" w14:textId="37A5162D" w:rsidR="00561C30" w:rsidRPr="00561C30" w:rsidRDefault="00366C6A" w:rsidP="00B0563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EUE standard incorporate</w:t>
      </w:r>
      <w:r w:rsidR="004465F1">
        <w:rPr>
          <w:rFonts w:ascii="Times New Roman" w:hAnsi="Times New Roman" w:cs="Times New Roman"/>
          <w:sz w:val="24"/>
          <w:szCs w:val="24"/>
        </w:rPr>
        <w:t>s</w:t>
      </w:r>
      <w:r>
        <w:rPr>
          <w:rFonts w:ascii="Times New Roman" w:hAnsi="Times New Roman" w:cs="Times New Roman"/>
          <w:sz w:val="24"/>
          <w:szCs w:val="24"/>
        </w:rPr>
        <w:t xml:space="preserve"> the three reliability study metrics that have been proposed by ERCOT.  These </w:t>
      </w:r>
      <w:r w:rsidR="002708E0">
        <w:rPr>
          <w:rFonts w:ascii="Times New Roman" w:hAnsi="Times New Roman" w:cs="Times New Roman"/>
          <w:sz w:val="24"/>
          <w:szCs w:val="24"/>
        </w:rPr>
        <w:t xml:space="preserve">reliability </w:t>
      </w:r>
      <w:r w:rsidR="00561C30" w:rsidRPr="00561C30">
        <w:rPr>
          <w:rFonts w:ascii="Times New Roman" w:hAnsi="Times New Roman" w:cs="Times New Roman"/>
          <w:sz w:val="24"/>
          <w:szCs w:val="24"/>
        </w:rPr>
        <w:t>Study Metrics</w:t>
      </w:r>
      <w:r>
        <w:rPr>
          <w:rFonts w:ascii="Times New Roman" w:hAnsi="Times New Roman" w:cs="Times New Roman"/>
          <w:sz w:val="24"/>
          <w:szCs w:val="24"/>
        </w:rPr>
        <w:t xml:space="preserve"> are the following</w:t>
      </w:r>
      <w:r w:rsidR="00561C30">
        <w:rPr>
          <w:rFonts w:ascii="Times New Roman" w:hAnsi="Times New Roman" w:cs="Times New Roman"/>
          <w:sz w:val="24"/>
          <w:szCs w:val="24"/>
        </w:rPr>
        <w:t>:</w:t>
      </w:r>
    </w:p>
    <w:p w14:paraId="152EB6E3" w14:textId="77777777" w:rsidR="002708E0" w:rsidRDefault="00561C30" w:rsidP="002708E0">
      <w:pPr>
        <w:pStyle w:val="ListParagraph"/>
        <w:numPr>
          <w:ilvl w:val="0"/>
          <w:numId w:val="6"/>
        </w:numPr>
        <w:spacing w:line="360" w:lineRule="auto"/>
        <w:jc w:val="both"/>
        <w:rPr>
          <w:rFonts w:ascii="Times New Roman" w:hAnsi="Times New Roman" w:cs="Times New Roman"/>
          <w:sz w:val="24"/>
          <w:szCs w:val="24"/>
        </w:rPr>
      </w:pPr>
      <w:r w:rsidRPr="002708E0">
        <w:rPr>
          <w:rFonts w:ascii="Times New Roman" w:hAnsi="Times New Roman" w:cs="Times New Roman"/>
          <w:b/>
          <w:bCs/>
          <w:sz w:val="24"/>
          <w:szCs w:val="24"/>
        </w:rPr>
        <w:t>Magnitude</w:t>
      </w:r>
      <w:r w:rsidRPr="002708E0">
        <w:rPr>
          <w:rFonts w:ascii="Times New Roman" w:hAnsi="Times New Roman" w:cs="Times New Roman"/>
          <w:sz w:val="24"/>
          <w:szCs w:val="24"/>
        </w:rPr>
        <w:t>: Maximum load that can be rotated for any event should not exceed x% of peak (~x MW for today);</w:t>
      </w:r>
    </w:p>
    <w:p w14:paraId="70F9328E" w14:textId="77777777" w:rsidR="002708E0" w:rsidRDefault="00561C30" w:rsidP="002708E0">
      <w:pPr>
        <w:pStyle w:val="ListParagraph"/>
        <w:numPr>
          <w:ilvl w:val="0"/>
          <w:numId w:val="6"/>
        </w:numPr>
        <w:spacing w:line="360" w:lineRule="auto"/>
        <w:jc w:val="both"/>
        <w:rPr>
          <w:rFonts w:ascii="Times New Roman" w:hAnsi="Times New Roman" w:cs="Times New Roman"/>
          <w:sz w:val="24"/>
          <w:szCs w:val="24"/>
        </w:rPr>
      </w:pPr>
      <w:r w:rsidRPr="002708E0">
        <w:rPr>
          <w:rFonts w:ascii="Times New Roman" w:hAnsi="Times New Roman" w:cs="Times New Roman"/>
          <w:b/>
          <w:bCs/>
          <w:sz w:val="24"/>
          <w:szCs w:val="24"/>
        </w:rPr>
        <w:t>Frequency</w:t>
      </w:r>
      <w:r w:rsidRPr="002708E0">
        <w:rPr>
          <w:rFonts w:ascii="Times New Roman" w:hAnsi="Times New Roman" w:cs="Times New Roman"/>
          <w:sz w:val="24"/>
          <w:szCs w:val="24"/>
        </w:rPr>
        <w:t xml:space="preserve">: Load Shed events for generator inadequacy should not occur more than once in x years; and </w:t>
      </w:r>
    </w:p>
    <w:p w14:paraId="2F8E6991" w14:textId="1B03845A" w:rsidR="00F84A4A" w:rsidRPr="002708E0" w:rsidRDefault="00561C30" w:rsidP="002708E0">
      <w:pPr>
        <w:pStyle w:val="ListParagraph"/>
        <w:numPr>
          <w:ilvl w:val="0"/>
          <w:numId w:val="6"/>
        </w:numPr>
        <w:spacing w:line="360" w:lineRule="auto"/>
        <w:jc w:val="both"/>
        <w:rPr>
          <w:rFonts w:ascii="Times New Roman" w:hAnsi="Times New Roman" w:cs="Times New Roman"/>
          <w:sz w:val="24"/>
          <w:szCs w:val="24"/>
        </w:rPr>
      </w:pPr>
      <w:r w:rsidRPr="002708E0">
        <w:rPr>
          <w:rFonts w:ascii="Times New Roman" w:hAnsi="Times New Roman" w:cs="Times New Roman"/>
          <w:b/>
          <w:bCs/>
          <w:sz w:val="24"/>
          <w:szCs w:val="24"/>
        </w:rPr>
        <w:t>Duration</w:t>
      </w:r>
      <w:r w:rsidRPr="002708E0">
        <w:rPr>
          <w:rFonts w:ascii="Times New Roman" w:hAnsi="Times New Roman" w:cs="Times New Roman"/>
          <w:sz w:val="24"/>
          <w:szCs w:val="24"/>
        </w:rPr>
        <w:t>: Any Load Shed event should not last for more than x hours.</w:t>
      </w:r>
    </w:p>
    <w:p w14:paraId="19ED529D" w14:textId="4CD7C4ED" w:rsidR="00217F6A" w:rsidRDefault="00217F6A" w:rsidP="00B0563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 EUE measure takes into account all th</w:t>
      </w:r>
      <w:r w:rsidR="00D40669">
        <w:rPr>
          <w:rFonts w:ascii="Times New Roman" w:hAnsi="Times New Roman" w:cs="Times New Roman"/>
          <w:sz w:val="24"/>
          <w:szCs w:val="24"/>
        </w:rPr>
        <w:t>ree</w:t>
      </w:r>
      <w:r>
        <w:rPr>
          <w:rFonts w:ascii="Times New Roman" w:hAnsi="Times New Roman" w:cs="Times New Roman"/>
          <w:sz w:val="24"/>
          <w:szCs w:val="24"/>
        </w:rPr>
        <w:t xml:space="preserve"> of these metrics and forms a boundary for possible combinations of these three metrics. For example, the grid experiencing 1 loss of load event every 10 years (Frequency) losing 1</w:t>
      </w:r>
      <w:r w:rsidR="008D5785">
        <w:rPr>
          <w:rFonts w:ascii="Times New Roman" w:hAnsi="Times New Roman" w:cs="Times New Roman"/>
          <w:sz w:val="24"/>
          <w:szCs w:val="24"/>
        </w:rPr>
        <w:t>0</w:t>
      </w:r>
      <w:r>
        <w:rPr>
          <w:rFonts w:ascii="Times New Roman" w:hAnsi="Times New Roman" w:cs="Times New Roman"/>
          <w:sz w:val="24"/>
          <w:szCs w:val="24"/>
        </w:rPr>
        <w:t>,000 MW (Magnitude) for 10 hours (Duration) would have an EUE = 0.1 x 1</w:t>
      </w:r>
      <w:r w:rsidR="008D5785">
        <w:rPr>
          <w:rFonts w:ascii="Times New Roman" w:hAnsi="Times New Roman" w:cs="Times New Roman"/>
          <w:sz w:val="24"/>
          <w:szCs w:val="24"/>
        </w:rPr>
        <w:t>0,</w:t>
      </w:r>
      <w:r>
        <w:rPr>
          <w:rFonts w:ascii="Times New Roman" w:hAnsi="Times New Roman" w:cs="Times New Roman"/>
          <w:sz w:val="24"/>
          <w:szCs w:val="24"/>
        </w:rPr>
        <w:t>000 x 10 = 1</w:t>
      </w:r>
      <w:r w:rsidR="008D5785">
        <w:rPr>
          <w:rFonts w:ascii="Times New Roman" w:hAnsi="Times New Roman" w:cs="Times New Roman"/>
          <w:sz w:val="24"/>
          <w:szCs w:val="24"/>
        </w:rPr>
        <w:t>0</w:t>
      </w:r>
      <w:r>
        <w:rPr>
          <w:rFonts w:ascii="Times New Roman" w:hAnsi="Times New Roman" w:cs="Times New Roman"/>
          <w:sz w:val="24"/>
          <w:szCs w:val="24"/>
        </w:rPr>
        <w:t>,000</w:t>
      </w:r>
      <w:r w:rsidR="008D5785">
        <w:rPr>
          <w:rFonts w:ascii="Times New Roman" w:hAnsi="Times New Roman" w:cs="Times New Roman"/>
          <w:sz w:val="24"/>
          <w:szCs w:val="24"/>
        </w:rPr>
        <w:t xml:space="preserve"> MWh</w:t>
      </w:r>
      <w:r>
        <w:rPr>
          <w:rFonts w:ascii="Times New Roman" w:hAnsi="Times New Roman" w:cs="Times New Roman"/>
          <w:sz w:val="24"/>
          <w:szCs w:val="24"/>
        </w:rPr>
        <w:t xml:space="preserve">. </w:t>
      </w:r>
      <w:r w:rsidR="008D5785">
        <w:rPr>
          <w:rFonts w:ascii="Times New Roman" w:hAnsi="Times New Roman" w:cs="Times New Roman"/>
          <w:sz w:val="24"/>
          <w:szCs w:val="24"/>
        </w:rPr>
        <w:t>Similarly, the grid experiencing 10 loss of load events every 10 years (Frequency) losing 100 MW (Magnitude) for 10 hours (Duration) would have an EUE = 1 x 1,000 x 10 = 10,000 MWh. Although the grid would meet an LOLE reliability standard of 0.1 day/year for the first example</w:t>
      </w:r>
      <w:r w:rsidR="00D40669">
        <w:rPr>
          <w:rFonts w:ascii="Times New Roman" w:hAnsi="Times New Roman" w:cs="Times New Roman"/>
          <w:sz w:val="24"/>
          <w:szCs w:val="24"/>
        </w:rPr>
        <w:t>, it would</w:t>
      </w:r>
      <w:r w:rsidR="008D5785">
        <w:rPr>
          <w:rFonts w:ascii="Times New Roman" w:hAnsi="Times New Roman" w:cs="Times New Roman"/>
          <w:sz w:val="24"/>
          <w:szCs w:val="24"/>
        </w:rPr>
        <w:t xml:space="preserve"> fail the </w:t>
      </w:r>
      <w:r w:rsidR="00D40669">
        <w:rPr>
          <w:rFonts w:ascii="Times New Roman" w:hAnsi="Times New Roman" w:cs="Times New Roman"/>
          <w:sz w:val="24"/>
          <w:szCs w:val="24"/>
        </w:rPr>
        <w:t xml:space="preserve">LOLE </w:t>
      </w:r>
      <w:r w:rsidR="008D5785">
        <w:rPr>
          <w:rFonts w:ascii="Times New Roman" w:hAnsi="Times New Roman" w:cs="Times New Roman"/>
          <w:sz w:val="24"/>
          <w:szCs w:val="24"/>
        </w:rPr>
        <w:t>standard for the second example</w:t>
      </w:r>
      <w:r w:rsidR="00D40669">
        <w:rPr>
          <w:rFonts w:ascii="Times New Roman" w:hAnsi="Times New Roman" w:cs="Times New Roman"/>
          <w:sz w:val="24"/>
          <w:szCs w:val="24"/>
        </w:rPr>
        <w:t>,</w:t>
      </w:r>
      <w:r w:rsidR="008D5785">
        <w:rPr>
          <w:rFonts w:ascii="Times New Roman" w:hAnsi="Times New Roman" w:cs="Times New Roman"/>
          <w:sz w:val="24"/>
          <w:szCs w:val="24"/>
        </w:rPr>
        <w:t xml:space="preserve"> even though the second scenario may be much less impactful to grid operations and easily managed by ERCOT (ERCOT maintains 1,000 MW of reserves even when shedding firm load). </w:t>
      </w:r>
      <w:r w:rsidR="00641041">
        <w:rPr>
          <w:rFonts w:ascii="Times New Roman" w:hAnsi="Times New Roman" w:cs="Times New Roman"/>
          <w:sz w:val="24"/>
          <w:szCs w:val="24"/>
        </w:rPr>
        <w:t>This example shows the shortcomings of the LOLE standard while demonstrating how the EUE standard creates a boundary that these three metrics must meet in combination.</w:t>
      </w:r>
    </w:p>
    <w:p w14:paraId="05A85F0A" w14:textId="2F5E71EA" w:rsidR="00641041" w:rsidRDefault="00641041" w:rsidP="00B0563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If</w:t>
      </w:r>
      <w:r w:rsidR="002708E0">
        <w:rPr>
          <w:rFonts w:ascii="Times New Roman" w:hAnsi="Times New Roman" w:cs="Times New Roman"/>
          <w:sz w:val="24"/>
          <w:szCs w:val="24"/>
        </w:rPr>
        <w:t>,</w:t>
      </w:r>
      <w:r>
        <w:rPr>
          <w:rFonts w:ascii="Times New Roman" w:hAnsi="Times New Roman" w:cs="Times New Roman"/>
          <w:sz w:val="24"/>
          <w:szCs w:val="24"/>
        </w:rPr>
        <w:t xml:space="preserve"> in addition to EUE, the Commission would like to limit the Magnitude and Duration of any single event, such limitation</w:t>
      </w:r>
      <w:r w:rsidR="002708E0">
        <w:rPr>
          <w:rFonts w:ascii="Times New Roman" w:hAnsi="Times New Roman" w:cs="Times New Roman"/>
          <w:sz w:val="24"/>
          <w:szCs w:val="24"/>
        </w:rPr>
        <w:t xml:space="preserve"> must</w:t>
      </w:r>
      <w:r>
        <w:rPr>
          <w:rFonts w:ascii="Times New Roman" w:hAnsi="Times New Roman" w:cs="Times New Roman"/>
          <w:sz w:val="24"/>
          <w:szCs w:val="24"/>
        </w:rPr>
        <w:t xml:space="preserve"> </w:t>
      </w:r>
      <w:r w:rsidR="002708E0">
        <w:rPr>
          <w:rFonts w:ascii="Times New Roman" w:hAnsi="Times New Roman" w:cs="Times New Roman"/>
          <w:sz w:val="24"/>
          <w:szCs w:val="24"/>
        </w:rPr>
        <w:t xml:space="preserve">include a minimum probability of occurrence </w:t>
      </w:r>
      <w:r>
        <w:rPr>
          <w:rFonts w:ascii="Times New Roman" w:hAnsi="Times New Roman" w:cs="Times New Roman"/>
          <w:sz w:val="24"/>
          <w:szCs w:val="24"/>
        </w:rPr>
        <w:t>and not</w:t>
      </w:r>
      <w:r w:rsidR="002708E0">
        <w:rPr>
          <w:rFonts w:ascii="Times New Roman" w:hAnsi="Times New Roman" w:cs="Times New Roman"/>
          <w:sz w:val="24"/>
          <w:szCs w:val="24"/>
        </w:rPr>
        <w:t xml:space="preserve"> be set as an</w:t>
      </w:r>
      <w:r>
        <w:rPr>
          <w:rFonts w:ascii="Times New Roman" w:hAnsi="Times New Roman" w:cs="Times New Roman"/>
          <w:sz w:val="24"/>
          <w:szCs w:val="24"/>
        </w:rPr>
        <w:t xml:space="preserve"> absolute value. For example, </w:t>
      </w:r>
      <w:r w:rsidR="00D40669">
        <w:rPr>
          <w:rFonts w:ascii="Times New Roman" w:hAnsi="Times New Roman" w:cs="Times New Roman"/>
          <w:sz w:val="24"/>
          <w:szCs w:val="24"/>
        </w:rPr>
        <w:t xml:space="preserve">if </w:t>
      </w:r>
      <w:r>
        <w:rPr>
          <w:rFonts w:ascii="Times New Roman" w:hAnsi="Times New Roman" w:cs="Times New Roman"/>
          <w:sz w:val="24"/>
          <w:szCs w:val="24"/>
        </w:rPr>
        <w:t xml:space="preserve">the Commission would like to set a maximum load shed amount of 20,000 MW, then that </w:t>
      </w:r>
      <w:r w:rsidR="002708E0">
        <w:rPr>
          <w:rFonts w:ascii="Times New Roman" w:hAnsi="Times New Roman" w:cs="Times New Roman"/>
          <w:sz w:val="24"/>
          <w:szCs w:val="24"/>
        </w:rPr>
        <w:t>reliability criterion</w:t>
      </w:r>
      <w:r>
        <w:rPr>
          <w:rFonts w:ascii="Times New Roman" w:hAnsi="Times New Roman" w:cs="Times New Roman"/>
          <w:sz w:val="24"/>
          <w:szCs w:val="24"/>
        </w:rPr>
        <w:t xml:space="preserve"> must be accompanied </w:t>
      </w:r>
      <w:r w:rsidR="0044591B">
        <w:rPr>
          <w:rFonts w:ascii="Times New Roman" w:hAnsi="Times New Roman" w:cs="Times New Roman"/>
          <w:sz w:val="24"/>
          <w:szCs w:val="24"/>
        </w:rPr>
        <w:t xml:space="preserve">with </w:t>
      </w:r>
      <w:r w:rsidR="002708E0">
        <w:rPr>
          <w:rFonts w:ascii="Times New Roman" w:hAnsi="Times New Roman" w:cs="Times New Roman"/>
          <w:sz w:val="24"/>
          <w:szCs w:val="24"/>
        </w:rPr>
        <w:t xml:space="preserve">a </w:t>
      </w:r>
      <w:r w:rsidR="0044591B">
        <w:rPr>
          <w:rFonts w:ascii="Times New Roman" w:hAnsi="Times New Roman" w:cs="Times New Roman"/>
          <w:sz w:val="24"/>
          <w:szCs w:val="24"/>
        </w:rPr>
        <w:t xml:space="preserve">minimum (say greater than 5%) probability of occurrence </w:t>
      </w:r>
      <w:r>
        <w:rPr>
          <w:rFonts w:ascii="Times New Roman" w:hAnsi="Times New Roman" w:cs="Times New Roman"/>
          <w:sz w:val="24"/>
          <w:szCs w:val="24"/>
        </w:rPr>
        <w:t xml:space="preserve">– </w:t>
      </w:r>
      <w:r w:rsidR="0044591B">
        <w:rPr>
          <w:rFonts w:ascii="Times New Roman" w:hAnsi="Times New Roman" w:cs="Times New Roman"/>
          <w:sz w:val="24"/>
          <w:szCs w:val="24"/>
        </w:rPr>
        <w:t>so, if the event has less than 5% probability of occurrence, it will not count towards violating this reliability criterion</w:t>
      </w:r>
      <w:r>
        <w:rPr>
          <w:rFonts w:ascii="Times New Roman" w:hAnsi="Times New Roman" w:cs="Times New Roman"/>
          <w:sz w:val="24"/>
          <w:szCs w:val="24"/>
        </w:rPr>
        <w:t>. There are always highly unlikely scenarios where say 50,000 MW of load is shed with a likelihood of 0.01%. If the 20,000 MW load shed limit were a hard reliability standard, then the grid would have to add 30,000 MW of perfectly reliable resources to meet that standard</w:t>
      </w:r>
      <w:r w:rsidR="002708E0">
        <w:rPr>
          <w:rFonts w:ascii="Times New Roman" w:hAnsi="Times New Roman" w:cs="Times New Roman"/>
          <w:sz w:val="24"/>
          <w:szCs w:val="24"/>
        </w:rPr>
        <w:t xml:space="preserve"> – a very high cost to avoid a one-in-hundred-</w:t>
      </w:r>
      <w:r w:rsidR="002708E0">
        <w:rPr>
          <w:rFonts w:ascii="Times New Roman" w:hAnsi="Times New Roman" w:cs="Times New Roman"/>
          <w:sz w:val="24"/>
          <w:szCs w:val="24"/>
        </w:rPr>
        <w:lastRenderedPageBreak/>
        <w:t>year event</w:t>
      </w:r>
      <w:r>
        <w:rPr>
          <w:rFonts w:ascii="Times New Roman" w:hAnsi="Times New Roman" w:cs="Times New Roman"/>
          <w:sz w:val="24"/>
          <w:szCs w:val="24"/>
        </w:rPr>
        <w:t xml:space="preserve">. </w:t>
      </w:r>
      <w:r w:rsidR="0044591B">
        <w:rPr>
          <w:rFonts w:ascii="Times New Roman" w:hAnsi="Times New Roman" w:cs="Times New Roman"/>
          <w:sz w:val="24"/>
          <w:szCs w:val="24"/>
        </w:rPr>
        <w:t>However, to be clear, such events will be account</w:t>
      </w:r>
      <w:r w:rsidR="00D40669">
        <w:rPr>
          <w:rFonts w:ascii="Times New Roman" w:hAnsi="Times New Roman" w:cs="Times New Roman"/>
          <w:sz w:val="24"/>
          <w:szCs w:val="24"/>
        </w:rPr>
        <w:t>ed</w:t>
      </w:r>
      <w:r w:rsidR="002708E0">
        <w:rPr>
          <w:rFonts w:ascii="Times New Roman" w:hAnsi="Times New Roman" w:cs="Times New Roman"/>
          <w:sz w:val="24"/>
          <w:szCs w:val="24"/>
        </w:rPr>
        <w:t xml:space="preserve"> for,</w:t>
      </w:r>
      <w:r w:rsidR="0044591B">
        <w:rPr>
          <w:rFonts w:ascii="Times New Roman" w:hAnsi="Times New Roman" w:cs="Times New Roman"/>
          <w:sz w:val="24"/>
          <w:szCs w:val="24"/>
        </w:rPr>
        <w:t xml:space="preserve"> </w:t>
      </w:r>
      <w:r w:rsidR="002708E0">
        <w:rPr>
          <w:rFonts w:ascii="Times New Roman" w:hAnsi="Times New Roman" w:cs="Times New Roman"/>
          <w:sz w:val="24"/>
          <w:szCs w:val="24"/>
        </w:rPr>
        <w:t>along with their associated probabilities, in determining EUE.</w:t>
      </w:r>
      <w:r w:rsidR="00BB1131">
        <w:rPr>
          <w:rFonts w:ascii="Times New Roman" w:hAnsi="Times New Roman" w:cs="Times New Roman"/>
          <w:sz w:val="24"/>
          <w:szCs w:val="24"/>
        </w:rPr>
        <w:t xml:space="preserve"> </w:t>
      </w:r>
      <w:r w:rsidR="00D40669">
        <w:rPr>
          <w:rFonts w:ascii="Times New Roman" w:hAnsi="Times New Roman" w:cs="Times New Roman"/>
          <w:sz w:val="24"/>
          <w:szCs w:val="24"/>
        </w:rPr>
        <w:t xml:space="preserve"> It is</w:t>
      </w:r>
      <w:r w:rsidR="00ED71E8">
        <w:rPr>
          <w:rFonts w:ascii="Times New Roman" w:hAnsi="Times New Roman" w:cs="Times New Roman"/>
          <w:sz w:val="24"/>
          <w:szCs w:val="24"/>
        </w:rPr>
        <w:t xml:space="preserve"> thus</w:t>
      </w:r>
      <w:r w:rsidR="00D40669">
        <w:rPr>
          <w:rFonts w:ascii="Times New Roman" w:hAnsi="Times New Roman" w:cs="Times New Roman"/>
          <w:sz w:val="24"/>
          <w:szCs w:val="24"/>
        </w:rPr>
        <w:t xml:space="preserve"> preferable to use the EUE standard instead of including</w:t>
      </w:r>
      <w:r w:rsidR="00BB1131">
        <w:rPr>
          <w:rFonts w:ascii="Times New Roman" w:hAnsi="Times New Roman" w:cs="Times New Roman"/>
          <w:sz w:val="24"/>
          <w:szCs w:val="24"/>
        </w:rPr>
        <w:t xml:space="preserve"> a Frequency (LOLE) limitation given the shortcomings of the LOLE standard and the fact that the EUE measure already takes into account frequency.</w:t>
      </w:r>
    </w:p>
    <w:p w14:paraId="241F7B43" w14:textId="05F65A40" w:rsidR="00641041" w:rsidRDefault="00641041" w:rsidP="00B0563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Although these three metrics </w:t>
      </w:r>
      <w:r w:rsidR="0044591B">
        <w:rPr>
          <w:rFonts w:ascii="Times New Roman" w:hAnsi="Times New Roman" w:cs="Times New Roman"/>
          <w:sz w:val="24"/>
          <w:szCs w:val="24"/>
        </w:rPr>
        <w:t xml:space="preserve">provide very useful information about the reliability of the grid and should be provided to regulators and the market by ERCOT, HEN believes that the reliability standard should be based on EUE alone and, if Commission desires Magnitude and Duration limits in addition to the EUE standard, then such limits should be accompanied with a minimum (e.g., greater than 5%) probability of occurrence. </w:t>
      </w:r>
    </w:p>
    <w:p w14:paraId="2EE20C99" w14:textId="77777777" w:rsidR="002D611E" w:rsidRPr="00EB2535" w:rsidRDefault="002D611E" w:rsidP="00492FFF">
      <w:p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(2) What is the most effective way that the Commission can include deliverability in the </w:t>
      </w:r>
    </w:p>
    <w:p w14:paraId="310A2020" w14:textId="736BF3BC" w:rsidR="002D611E" w:rsidRDefault="002D611E" w:rsidP="00492FFF">
      <w:p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reliability standard? </w:t>
      </w:r>
    </w:p>
    <w:p w14:paraId="0F72663D" w14:textId="54EEDCFE" w:rsidR="00D40669" w:rsidRDefault="00D40669" w:rsidP="00492FFF">
      <w:pPr>
        <w:spacing w:after="0" w:line="240" w:lineRule="auto"/>
        <w:rPr>
          <w:rFonts w:ascii="Times New Roman" w:hAnsi="Times New Roman" w:cs="Times New Roman"/>
          <w:b/>
          <w:bCs/>
          <w:sz w:val="24"/>
          <w:szCs w:val="24"/>
        </w:rPr>
      </w:pPr>
    </w:p>
    <w:p w14:paraId="5905EC1C" w14:textId="3EFFFF92" w:rsidR="00D40669" w:rsidRDefault="00D40669" w:rsidP="00FF37E6">
      <w:pPr>
        <w:spacing w:after="0" w:line="360" w:lineRule="auto"/>
        <w:jc w:val="both"/>
        <w:rPr>
          <w:rFonts w:ascii="Times New Roman" w:hAnsi="Times New Roman" w:cs="Times New Roman"/>
          <w:sz w:val="24"/>
          <w:szCs w:val="24"/>
        </w:rPr>
      </w:pPr>
      <w:r w:rsidRPr="00D40669">
        <w:rPr>
          <w:rFonts w:ascii="Times New Roman" w:hAnsi="Times New Roman" w:cs="Times New Roman"/>
          <w:sz w:val="24"/>
          <w:szCs w:val="24"/>
        </w:rPr>
        <w:tab/>
      </w:r>
      <w:r>
        <w:rPr>
          <w:rFonts w:ascii="Times New Roman" w:hAnsi="Times New Roman" w:cs="Times New Roman"/>
          <w:sz w:val="24"/>
          <w:szCs w:val="24"/>
        </w:rPr>
        <w:t xml:space="preserve"> </w:t>
      </w:r>
      <w:r w:rsidRPr="00D40669">
        <w:rPr>
          <w:rFonts w:ascii="Times New Roman" w:hAnsi="Times New Roman" w:cs="Times New Roman"/>
          <w:sz w:val="24"/>
          <w:szCs w:val="24"/>
        </w:rPr>
        <w:t xml:space="preserve">Deliverability </w:t>
      </w:r>
      <w:r>
        <w:rPr>
          <w:rFonts w:ascii="Times New Roman" w:hAnsi="Times New Roman" w:cs="Times New Roman"/>
          <w:sz w:val="24"/>
          <w:szCs w:val="24"/>
        </w:rPr>
        <w:t xml:space="preserve">considers the ability of resources to effectively deliver energy to customers to achieve the reliability standard. </w:t>
      </w:r>
      <w:r w:rsidR="00FF37E6">
        <w:rPr>
          <w:rFonts w:ascii="Times New Roman" w:hAnsi="Times New Roman" w:cs="Times New Roman"/>
          <w:sz w:val="24"/>
          <w:szCs w:val="24"/>
        </w:rPr>
        <w:t xml:space="preserve"> Deliverability should be calculated by considering the </w:t>
      </w:r>
      <w:r w:rsidR="00ED71E8">
        <w:rPr>
          <w:rFonts w:ascii="Times New Roman" w:hAnsi="Times New Roman" w:cs="Times New Roman"/>
          <w:sz w:val="24"/>
          <w:szCs w:val="24"/>
        </w:rPr>
        <w:t xml:space="preserve">entire </w:t>
      </w:r>
      <w:r w:rsidR="00FF37E6">
        <w:rPr>
          <w:rFonts w:ascii="Times New Roman" w:hAnsi="Times New Roman" w:cs="Times New Roman"/>
          <w:sz w:val="24"/>
          <w:szCs w:val="24"/>
        </w:rPr>
        <w:t xml:space="preserve">ERCOT system.  </w:t>
      </w:r>
      <w:r w:rsidR="00ED71E8">
        <w:rPr>
          <w:rFonts w:ascii="Times New Roman" w:hAnsi="Times New Roman" w:cs="Times New Roman"/>
          <w:sz w:val="24"/>
          <w:szCs w:val="24"/>
        </w:rPr>
        <w:t>Thus, the</w:t>
      </w:r>
      <w:r w:rsidR="00FF37E6">
        <w:rPr>
          <w:rFonts w:ascii="Times New Roman" w:hAnsi="Times New Roman" w:cs="Times New Roman"/>
          <w:sz w:val="24"/>
          <w:szCs w:val="24"/>
        </w:rPr>
        <w:t xml:space="preserve"> resources that should be considered as “deliverable” and included in calculating the MW that count toward achieving the reliability standard, are those resources that are visible and controllable by ERCOT.  These are resources that are (i) registered and fully-qualified with ERCOT and the PUC, (ii) telemetered to ERCOT such that ERCOT has real time information on the availability of the resource, and</w:t>
      </w:r>
      <w:r w:rsidR="0065042D">
        <w:rPr>
          <w:rFonts w:ascii="Times New Roman" w:hAnsi="Times New Roman" w:cs="Times New Roman"/>
          <w:sz w:val="24"/>
          <w:szCs w:val="24"/>
        </w:rPr>
        <w:t>/or</w:t>
      </w:r>
      <w:r w:rsidR="00FF37E6">
        <w:rPr>
          <w:rFonts w:ascii="Times New Roman" w:hAnsi="Times New Roman" w:cs="Times New Roman"/>
          <w:sz w:val="24"/>
          <w:szCs w:val="24"/>
        </w:rPr>
        <w:t xml:space="preserve"> (iii) dispatched by ERCOT through the Security Constrained Economic Dispatch (“SCED”).   </w:t>
      </w:r>
    </w:p>
    <w:p w14:paraId="33F79985" w14:textId="7DFC57E1" w:rsidR="00FF37E6" w:rsidRDefault="00FF37E6" w:rsidP="00FF37E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Using this approach to </w:t>
      </w:r>
      <w:r w:rsidR="002239C1">
        <w:rPr>
          <w:rFonts w:ascii="Times New Roman" w:hAnsi="Times New Roman" w:cs="Times New Roman"/>
          <w:sz w:val="24"/>
          <w:szCs w:val="24"/>
        </w:rPr>
        <w:t xml:space="preserve">determine </w:t>
      </w:r>
      <w:r>
        <w:rPr>
          <w:rFonts w:ascii="Times New Roman" w:hAnsi="Times New Roman" w:cs="Times New Roman"/>
          <w:sz w:val="24"/>
          <w:szCs w:val="24"/>
        </w:rPr>
        <w:t xml:space="preserve">those resources that are deliverable has the benefit of being relatively simple to calculate.  Other alternatives, such as modeling the transmission and distribution systems, identifying constraints and modeling the operation of the grid under various scenarios quickly become extremely complicated, complex and time-consuming. </w:t>
      </w:r>
    </w:p>
    <w:p w14:paraId="5313BD38" w14:textId="77777777" w:rsidR="00FF37E6" w:rsidRDefault="00FF37E6" w:rsidP="00492FFF">
      <w:pPr>
        <w:spacing w:after="0" w:line="240" w:lineRule="auto"/>
        <w:rPr>
          <w:rFonts w:ascii="Times New Roman" w:hAnsi="Times New Roman" w:cs="Times New Roman"/>
          <w:b/>
          <w:bCs/>
          <w:sz w:val="24"/>
          <w:szCs w:val="24"/>
        </w:rPr>
      </w:pPr>
    </w:p>
    <w:p w14:paraId="6C7F3D98" w14:textId="432202F8" w:rsidR="002D611E" w:rsidRPr="00EB2535" w:rsidRDefault="002D611E" w:rsidP="00492FFF">
      <w:p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(3) Additional considerations in establishing the reliability standard in the ERCOT power region. </w:t>
      </w:r>
    </w:p>
    <w:p w14:paraId="686AE57B" w14:textId="7A123621" w:rsidR="002D611E" w:rsidRPr="00EB2535" w:rsidRDefault="002D611E" w:rsidP="00D50456">
      <w:pPr>
        <w:pStyle w:val="ListParagraph"/>
        <w:numPr>
          <w:ilvl w:val="0"/>
          <w:numId w:val="3"/>
        </w:num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Should the reliability standard include a locational requirement? </w:t>
      </w:r>
    </w:p>
    <w:p w14:paraId="67F283DC" w14:textId="30FE2F8D" w:rsidR="002D611E" w:rsidRPr="00EB2535" w:rsidRDefault="002D611E" w:rsidP="00D50456">
      <w:pPr>
        <w:pStyle w:val="ListParagraph"/>
        <w:numPr>
          <w:ilvl w:val="0"/>
          <w:numId w:val="3"/>
        </w:num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Should the reliability standard include a seasonal component? </w:t>
      </w:r>
    </w:p>
    <w:p w14:paraId="5DB98981" w14:textId="2ECEC84D" w:rsidR="002D611E" w:rsidRPr="00EB2535" w:rsidRDefault="002D611E" w:rsidP="00D50456">
      <w:pPr>
        <w:pStyle w:val="ListParagraph"/>
        <w:numPr>
          <w:ilvl w:val="0"/>
          <w:numId w:val="3"/>
        </w:num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How can extreme events be captured in a reliability standard? </w:t>
      </w:r>
    </w:p>
    <w:p w14:paraId="056F8734" w14:textId="6300082D" w:rsidR="002D611E" w:rsidRPr="00561C30" w:rsidRDefault="002D611E" w:rsidP="00561C30">
      <w:pPr>
        <w:pStyle w:val="ListParagraph"/>
        <w:numPr>
          <w:ilvl w:val="0"/>
          <w:numId w:val="3"/>
        </w:numPr>
        <w:spacing w:after="0" w:line="240" w:lineRule="auto"/>
        <w:rPr>
          <w:rFonts w:ascii="Times New Roman" w:hAnsi="Times New Roman" w:cs="Times New Roman"/>
          <w:b/>
          <w:bCs/>
          <w:sz w:val="24"/>
          <w:szCs w:val="24"/>
        </w:rPr>
      </w:pPr>
      <w:r w:rsidRPr="00EB2535">
        <w:rPr>
          <w:rFonts w:ascii="Times New Roman" w:hAnsi="Times New Roman" w:cs="Times New Roman"/>
          <w:b/>
          <w:bCs/>
          <w:sz w:val="24"/>
          <w:szCs w:val="24"/>
        </w:rPr>
        <w:t xml:space="preserve">How </w:t>
      </w:r>
      <w:r w:rsidR="00D50456" w:rsidRPr="00EB2535">
        <w:rPr>
          <w:rFonts w:ascii="Times New Roman" w:hAnsi="Times New Roman" w:cs="Times New Roman"/>
          <w:b/>
          <w:bCs/>
          <w:sz w:val="24"/>
          <w:szCs w:val="24"/>
        </w:rPr>
        <w:t>c</w:t>
      </w:r>
      <w:r w:rsidRPr="00EB2535">
        <w:rPr>
          <w:rFonts w:ascii="Times New Roman" w:hAnsi="Times New Roman" w:cs="Times New Roman"/>
          <w:b/>
          <w:bCs/>
          <w:sz w:val="24"/>
          <w:szCs w:val="24"/>
        </w:rPr>
        <w:t xml:space="preserve">an the value of distributed energy and load resources be captured in a reliability </w:t>
      </w:r>
      <w:r w:rsidR="00D50456" w:rsidRPr="00561C30">
        <w:rPr>
          <w:rFonts w:ascii="Times New Roman" w:hAnsi="Times New Roman" w:cs="Times New Roman"/>
          <w:b/>
          <w:bCs/>
          <w:sz w:val="24"/>
          <w:szCs w:val="24"/>
        </w:rPr>
        <w:t>s</w:t>
      </w:r>
      <w:r w:rsidRPr="00561C30">
        <w:rPr>
          <w:rFonts w:ascii="Times New Roman" w:hAnsi="Times New Roman" w:cs="Times New Roman"/>
          <w:b/>
          <w:bCs/>
          <w:sz w:val="24"/>
          <w:szCs w:val="24"/>
        </w:rPr>
        <w:t>tandard</w:t>
      </w:r>
      <w:r w:rsidR="00D50456" w:rsidRPr="00561C30">
        <w:rPr>
          <w:rFonts w:ascii="Times New Roman" w:hAnsi="Times New Roman" w:cs="Times New Roman"/>
          <w:b/>
          <w:bCs/>
          <w:sz w:val="24"/>
          <w:szCs w:val="24"/>
        </w:rPr>
        <w:t>?</w:t>
      </w:r>
      <w:r w:rsidRPr="00561C30">
        <w:rPr>
          <w:rFonts w:ascii="Times New Roman" w:hAnsi="Times New Roman" w:cs="Times New Roman"/>
          <w:b/>
          <w:bCs/>
          <w:sz w:val="24"/>
          <w:szCs w:val="24"/>
        </w:rPr>
        <w:t xml:space="preserve"> </w:t>
      </w:r>
    </w:p>
    <w:p w14:paraId="2EEA45C0" w14:textId="58FE3B03" w:rsidR="00D50456" w:rsidRPr="00EB2535" w:rsidRDefault="00D50456" w:rsidP="00D50456">
      <w:pPr>
        <w:spacing w:after="0" w:line="240" w:lineRule="auto"/>
        <w:ind w:firstLine="720"/>
        <w:rPr>
          <w:rFonts w:ascii="Times New Roman" w:hAnsi="Times New Roman" w:cs="Times New Roman"/>
          <w:b/>
          <w:bCs/>
          <w:sz w:val="24"/>
          <w:szCs w:val="24"/>
        </w:rPr>
      </w:pPr>
    </w:p>
    <w:p w14:paraId="51330FB2" w14:textId="5A128883" w:rsidR="00ED71E8" w:rsidRDefault="00FF37E6" w:rsidP="00366C6A">
      <w:pPr>
        <w:spacing w:after="0" w:line="360" w:lineRule="auto"/>
        <w:ind w:firstLine="720"/>
        <w:rPr>
          <w:rFonts w:ascii="Times New Roman" w:hAnsi="Times New Roman" w:cs="Times New Roman"/>
          <w:sz w:val="24"/>
          <w:szCs w:val="24"/>
        </w:rPr>
      </w:pPr>
      <w:r w:rsidRPr="00366C6A">
        <w:rPr>
          <w:rFonts w:ascii="Times New Roman" w:hAnsi="Times New Roman" w:cs="Times New Roman"/>
          <w:sz w:val="24"/>
          <w:szCs w:val="24"/>
        </w:rPr>
        <w:lastRenderedPageBreak/>
        <w:t>Please see HEN’s answers to Questions 1 and 2</w:t>
      </w:r>
      <w:r>
        <w:rPr>
          <w:rFonts w:ascii="Times New Roman" w:hAnsi="Times New Roman" w:cs="Times New Roman"/>
          <w:sz w:val="24"/>
          <w:szCs w:val="24"/>
        </w:rPr>
        <w:t xml:space="preserve"> regarding how the reliability standard can </w:t>
      </w:r>
      <w:r w:rsidR="00E006C2">
        <w:rPr>
          <w:rFonts w:ascii="Times New Roman" w:hAnsi="Times New Roman" w:cs="Times New Roman"/>
          <w:sz w:val="24"/>
          <w:szCs w:val="24"/>
        </w:rPr>
        <w:t>capture extreme events</w:t>
      </w:r>
      <w:r w:rsidRPr="00366C6A">
        <w:rPr>
          <w:rFonts w:ascii="Times New Roman" w:hAnsi="Times New Roman" w:cs="Times New Roman"/>
          <w:sz w:val="24"/>
          <w:szCs w:val="24"/>
        </w:rPr>
        <w:t>.</w:t>
      </w:r>
      <w:r w:rsidR="00E006C2">
        <w:rPr>
          <w:rFonts w:ascii="Times New Roman" w:hAnsi="Times New Roman" w:cs="Times New Roman"/>
          <w:sz w:val="24"/>
          <w:szCs w:val="24"/>
        </w:rPr>
        <w:t xml:space="preserve">  </w:t>
      </w:r>
      <w:r w:rsidR="00C713C6">
        <w:rPr>
          <w:rFonts w:ascii="Times New Roman" w:hAnsi="Times New Roman" w:cs="Times New Roman"/>
          <w:sz w:val="24"/>
          <w:szCs w:val="24"/>
        </w:rPr>
        <w:t xml:space="preserve">Importance sampling is </w:t>
      </w:r>
      <w:r w:rsidR="004465F1">
        <w:rPr>
          <w:rFonts w:ascii="Times New Roman" w:hAnsi="Times New Roman" w:cs="Times New Roman"/>
          <w:sz w:val="24"/>
          <w:szCs w:val="24"/>
        </w:rPr>
        <w:t>a</w:t>
      </w:r>
      <w:r w:rsidR="00C713C6">
        <w:rPr>
          <w:rFonts w:ascii="Times New Roman" w:hAnsi="Times New Roman" w:cs="Times New Roman"/>
          <w:sz w:val="24"/>
          <w:szCs w:val="24"/>
        </w:rPr>
        <w:t xml:space="preserve"> technique that can be utilized to ensure </w:t>
      </w:r>
      <w:r w:rsidR="00ED71E8">
        <w:rPr>
          <w:rFonts w:ascii="Times New Roman" w:hAnsi="Times New Roman" w:cs="Times New Roman"/>
          <w:sz w:val="24"/>
          <w:szCs w:val="24"/>
        </w:rPr>
        <w:t xml:space="preserve">that </w:t>
      </w:r>
      <w:r w:rsidR="00C713C6">
        <w:rPr>
          <w:rFonts w:ascii="Times New Roman" w:hAnsi="Times New Roman" w:cs="Times New Roman"/>
          <w:sz w:val="24"/>
          <w:szCs w:val="24"/>
        </w:rPr>
        <w:t xml:space="preserve">high impact, low probability extreme events are appropriately captured in a reliability standard. </w:t>
      </w:r>
    </w:p>
    <w:p w14:paraId="2C2AC1DA" w14:textId="489D2F79" w:rsidR="00D50456" w:rsidRPr="00366C6A" w:rsidRDefault="00E006C2" w:rsidP="00323287">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With respect to distributed energy and load resources, if these resources meet the deliverability requirements set forth above, then they would contribute toward meeting the reliability standard.</w:t>
      </w:r>
    </w:p>
    <w:p w14:paraId="2320829E" w14:textId="77777777" w:rsidR="00FF37E6" w:rsidRPr="00EB2535" w:rsidRDefault="00FF37E6" w:rsidP="00D50456">
      <w:pPr>
        <w:spacing w:after="0" w:line="240" w:lineRule="auto"/>
        <w:ind w:firstLine="720"/>
        <w:rPr>
          <w:rFonts w:ascii="Times New Roman" w:hAnsi="Times New Roman" w:cs="Times New Roman"/>
          <w:b/>
          <w:bCs/>
          <w:sz w:val="24"/>
          <w:szCs w:val="24"/>
        </w:rPr>
      </w:pPr>
    </w:p>
    <w:p w14:paraId="387D4449" w14:textId="26311AB3" w:rsidR="002D611E" w:rsidRPr="00323287" w:rsidRDefault="00ED71E8" w:rsidP="00323287">
      <w:pPr>
        <w:spacing w:after="0" w:line="360" w:lineRule="auto"/>
        <w:rPr>
          <w:rFonts w:ascii="Times New Roman" w:hAnsi="Times New Roman" w:cs="Times New Roman"/>
          <w:sz w:val="24"/>
          <w:szCs w:val="24"/>
        </w:rPr>
      </w:pPr>
      <w:r w:rsidRPr="00323287">
        <w:rPr>
          <w:rFonts w:ascii="Times New Roman" w:hAnsi="Times New Roman" w:cs="Times New Roman"/>
          <w:sz w:val="24"/>
          <w:szCs w:val="24"/>
        </w:rPr>
        <w:t>HEN appreciates the opportunity to offer these comments and is available to answer questions the Commission may have.</w:t>
      </w:r>
    </w:p>
    <w:p w14:paraId="44DA06AA" w14:textId="6ED3B9D3" w:rsidR="00ED71E8" w:rsidRPr="00323287" w:rsidRDefault="00ED71E8" w:rsidP="00492FFF">
      <w:pPr>
        <w:spacing w:after="0" w:line="240" w:lineRule="auto"/>
        <w:rPr>
          <w:rFonts w:ascii="Times New Roman" w:hAnsi="Times New Roman" w:cs="Times New Roman"/>
          <w:sz w:val="24"/>
          <w:szCs w:val="24"/>
        </w:rPr>
      </w:pPr>
    </w:p>
    <w:p w14:paraId="4B8CBAC1" w14:textId="4C5FA550" w:rsidR="00ED71E8" w:rsidRPr="00323287" w:rsidRDefault="00ED71E8" w:rsidP="00492FFF">
      <w:pPr>
        <w:spacing w:after="0" w:line="240" w:lineRule="auto"/>
        <w:rPr>
          <w:rFonts w:ascii="Times New Roman" w:hAnsi="Times New Roman" w:cs="Times New Roman"/>
          <w:sz w:val="24"/>
          <w:szCs w:val="24"/>
        </w:rPr>
      </w:pPr>
    </w:p>
    <w:p w14:paraId="0C55D46B" w14:textId="579F8643" w:rsidR="00ED71E8" w:rsidRPr="00323287" w:rsidRDefault="00ED71E8" w:rsidP="00492FFF">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Respectfully submitted,</w:t>
      </w:r>
    </w:p>
    <w:p w14:paraId="1DEE9DDF" w14:textId="353A8FFC" w:rsidR="00ED71E8" w:rsidRPr="00323287" w:rsidRDefault="00ED71E8" w:rsidP="00492FFF">
      <w:pPr>
        <w:spacing w:after="0" w:line="240" w:lineRule="auto"/>
        <w:rPr>
          <w:rFonts w:ascii="Times New Roman" w:hAnsi="Times New Roman" w:cs="Times New Roman"/>
          <w:sz w:val="24"/>
          <w:szCs w:val="24"/>
        </w:rPr>
      </w:pPr>
    </w:p>
    <w:p w14:paraId="22B29290" w14:textId="729D95AC" w:rsidR="00ED71E8" w:rsidRPr="00323287" w:rsidRDefault="00ED71E8" w:rsidP="00492FFF">
      <w:pPr>
        <w:spacing w:after="0" w:line="240" w:lineRule="auto"/>
        <w:rPr>
          <w:rFonts w:ascii="Times New Roman" w:hAnsi="Times New Roman" w:cs="Times New Roman"/>
          <w:sz w:val="24"/>
          <w:szCs w:val="24"/>
        </w:rPr>
      </w:pPr>
    </w:p>
    <w:p w14:paraId="2283D87A" w14:textId="759F4452" w:rsidR="00ED71E8" w:rsidRPr="00323287" w:rsidRDefault="00ED71E8" w:rsidP="00492FFF">
      <w:pPr>
        <w:spacing w:after="0" w:line="240" w:lineRule="auto"/>
        <w:rPr>
          <w:rFonts w:ascii="Times New Roman" w:hAnsi="Times New Roman" w:cs="Times New Roman"/>
          <w:i/>
          <w:iCs/>
          <w:sz w:val="24"/>
          <w:szCs w:val="24"/>
          <w:u w:val="single"/>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000D24D5" w:rsidRPr="00323287">
        <w:rPr>
          <w:rFonts w:ascii="Times New Roman" w:hAnsi="Times New Roman" w:cs="Times New Roman"/>
          <w:sz w:val="24"/>
          <w:szCs w:val="24"/>
          <w:u w:val="single"/>
        </w:rPr>
        <w:t xml:space="preserve">/s/ </w:t>
      </w:r>
      <w:r w:rsidRPr="00323287">
        <w:rPr>
          <w:rFonts w:ascii="Times New Roman" w:hAnsi="Times New Roman" w:cs="Times New Roman"/>
          <w:i/>
          <w:iCs/>
          <w:sz w:val="24"/>
          <w:szCs w:val="24"/>
          <w:u w:val="single"/>
        </w:rPr>
        <w:t>Stephanie Kroger</w:t>
      </w:r>
    </w:p>
    <w:p w14:paraId="491B05DA" w14:textId="369D38D9" w:rsidR="00ED71E8" w:rsidRPr="00323287" w:rsidRDefault="00ED71E8" w:rsidP="00492FFF">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p>
    <w:p w14:paraId="489A9C26" w14:textId="236A0444" w:rsidR="00ED71E8" w:rsidRPr="00323287" w:rsidRDefault="00ED71E8" w:rsidP="00492FFF">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Stephanie Kroger</w:t>
      </w:r>
    </w:p>
    <w:p w14:paraId="35327806" w14:textId="443387BB" w:rsidR="00ED71E8" w:rsidRPr="00323287" w:rsidRDefault="00ED71E8" w:rsidP="00492FFF">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Sr. VP Regulatory and Business Development</w:t>
      </w:r>
    </w:p>
    <w:p w14:paraId="07EADBDE" w14:textId="203C90DE" w:rsidR="00ED71E8" w:rsidRPr="00323287" w:rsidRDefault="00ED71E8" w:rsidP="00492FFF">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Hunt Energy Network L.L.C.</w:t>
      </w:r>
    </w:p>
    <w:p w14:paraId="4E8E46ED" w14:textId="19EB32D5" w:rsidR="00ED71E8" w:rsidRPr="00323287" w:rsidRDefault="00ED71E8" w:rsidP="00492FFF">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1900 North Akard Street</w:t>
      </w:r>
    </w:p>
    <w:p w14:paraId="77FDC812" w14:textId="140C00A7" w:rsidR="00ED71E8" w:rsidRPr="00323287" w:rsidRDefault="00ED71E8" w:rsidP="00492FFF">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Dallas, Texas 75201</w:t>
      </w:r>
    </w:p>
    <w:p w14:paraId="234BF1ED" w14:textId="44E7C2E2" w:rsidR="00ED71E8" w:rsidRPr="00323287" w:rsidRDefault="00ED71E8" w:rsidP="00492FFF">
      <w:pPr>
        <w:spacing w:after="0" w:line="240" w:lineRule="auto"/>
        <w:rPr>
          <w:rFonts w:ascii="Times New Roman" w:hAnsi="Times New Roman" w:cs="Times New Roman"/>
          <w:sz w:val="24"/>
          <w:szCs w:val="24"/>
        </w:rPr>
      </w:pPr>
    </w:p>
    <w:p w14:paraId="0A2C3C96" w14:textId="6140E89A" w:rsidR="00ED71E8" w:rsidRPr="00323287" w:rsidRDefault="00ED71E8" w:rsidP="00492FFF">
      <w:pPr>
        <w:spacing w:after="0" w:line="240" w:lineRule="auto"/>
        <w:rPr>
          <w:rFonts w:ascii="Times New Roman" w:hAnsi="Times New Roman" w:cs="Times New Roman"/>
          <w:sz w:val="24"/>
          <w:szCs w:val="24"/>
        </w:rPr>
      </w:pP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r>
      <w:r w:rsidRPr="00323287">
        <w:rPr>
          <w:rFonts w:ascii="Times New Roman" w:hAnsi="Times New Roman" w:cs="Times New Roman"/>
          <w:sz w:val="24"/>
          <w:szCs w:val="24"/>
        </w:rPr>
        <w:tab/>
        <w:t>skroger@huntenergy.com</w:t>
      </w:r>
    </w:p>
    <w:p w14:paraId="3F17EEFE" w14:textId="77777777" w:rsidR="00ED71E8" w:rsidRPr="00323287" w:rsidRDefault="00ED71E8" w:rsidP="00492FFF">
      <w:pPr>
        <w:spacing w:after="0" w:line="240" w:lineRule="auto"/>
        <w:rPr>
          <w:rFonts w:ascii="Times New Roman" w:hAnsi="Times New Roman" w:cs="Times New Roman"/>
          <w:sz w:val="24"/>
          <w:szCs w:val="24"/>
        </w:rPr>
      </w:pPr>
    </w:p>
    <w:p w14:paraId="392C3011" w14:textId="483DED10" w:rsidR="00ED71E8" w:rsidRDefault="00ED71E8" w:rsidP="00492FFF">
      <w:pPr>
        <w:spacing w:after="0" w:line="240" w:lineRule="auto"/>
        <w:rPr>
          <w:rFonts w:ascii="Times New Roman" w:hAnsi="Times New Roman" w:cs="Times New Roman"/>
          <w:b/>
          <w:bCs/>
          <w:sz w:val="24"/>
          <w:szCs w:val="24"/>
        </w:rPr>
      </w:pPr>
    </w:p>
    <w:p w14:paraId="0ABC4F5D" w14:textId="0CE64ACD" w:rsidR="000524E8" w:rsidRDefault="000524E8">
      <w:pPr>
        <w:rPr>
          <w:rFonts w:ascii="Times New Roman" w:hAnsi="Times New Roman" w:cs="Times New Roman"/>
          <w:b/>
          <w:bCs/>
          <w:sz w:val="24"/>
          <w:szCs w:val="24"/>
        </w:rPr>
      </w:pPr>
      <w:r>
        <w:rPr>
          <w:rFonts w:ascii="Times New Roman" w:hAnsi="Times New Roman" w:cs="Times New Roman"/>
          <w:b/>
          <w:bCs/>
          <w:sz w:val="24"/>
          <w:szCs w:val="24"/>
        </w:rPr>
        <w:br w:type="page"/>
      </w:r>
    </w:p>
    <w:p w14:paraId="10D08486" w14:textId="77777777" w:rsidR="000524E8" w:rsidRPr="000524E8" w:rsidRDefault="000524E8" w:rsidP="000524E8">
      <w:pPr>
        <w:jc w:val="center"/>
        <w:rPr>
          <w:rFonts w:ascii="Times New Roman" w:hAnsi="Times New Roman" w:cs="Times New Roman"/>
          <w:b/>
          <w:bCs/>
          <w:sz w:val="24"/>
          <w:szCs w:val="24"/>
        </w:rPr>
      </w:pPr>
      <w:r w:rsidRPr="000524E8">
        <w:rPr>
          <w:rFonts w:ascii="Times New Roman" w:hAnsi="Times New Roman" w:cs="Times New Roman"/>
          <w:b/>
          <w:bCs/>
          <w:sz w:val="24"/>
          <w:szCs w:val="24"/>
        </w:rPr>
        <w:lastRenderedPageBreak/>
        <w:t>PROJECT NO. 54584</w:t>
      </w:r>
    </w:p>
    <w:p w14:paraId="2A78D0D6" w14:textId="77777777" w:rsidR="000524E8" w:rsidRPr="000524E8" w:rsidRDefault="000524E8" w:rsidP="000524E8">
      <w:pPr>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540"/>
        <w:gridCol w:w="4675"/>
      </w:tblGrid>
      <w:tr w:rsidR="000524E8" w:rsidRPr="000524E8" w14:paraId="0927070D" w14:textId="77777777" w:rsidTr="009856C4">
        <w:tc>
          <w:tcPr>
            <w:tcW w:w="4135" w:type="dxa"/>
          </w:tcPr>
          <w:p w14:paraId="77F07882" w14:textId="77777777" w:rsidR="000524E8" w:rsidRPr="000524E8" w:rsidRDefault="000524E8" w:rsidP="009856C4">
            <w:pPr>
              <w:rPr>
                <w:rFonts w:ascii="Times New Roman" w:hAnsi="Times New Roman" w:cs="Times New Roman"/>
                <w:b/>
                <w:bCs/>
                <w:sz w:val="24"/>
                <w:szCs w:val="24"/>
              </w:rPr>
            </w:pPr>
            <w:r w:rsidRPr="000524E8">
              <w:rPr>
                <w:rFonts w:ascii="Times New Roman" w:hAnsi="Times New Roman" w:cs="Times New Roman"/>
                <w:b/>
                <w:bCs/>
                <w:sz w:val="24"/>
                <w:szCs w:val="24"/>
                <w:shd w:val="clear" w:color="auto" w:fill="FFFFFF"/>
              </w:rPr>
              <w:t>RELIABILITY STANDARD FOR THE ERCOT MARKET</w:t>
            </w:r>
          </w:p>
          <w:p w14:paraId="5F4BFA1A" w14:textId="77777777" w:rsidR="000524E8" w:rsidRPr="000524E8" w:rsidRDefault="000524E8" w:rsidP="009856C4">
            <w:pPr>
              <w:rPr>
                <w:rFonts w:ascii="Times New Roman" w:hAnsi="Times New Roman" w:cs="Times New Roman"/>
                <w:b/>
                <w:bCs/>
                <w:sz w:val="24"/>
                <w:szCs w:val="24"/>
                <w:shd w:val="clear" w:color="auto" w:fill="FFFFFF"/>
              </w:rPr>
            </w:pPr>
          </w:p>
        </w:tc>
        <w:tc>
          <w:tcPr>
            <w:tcW w:w="540" w:type="dxa"/>
          </w:tcPr>
          <w:p w14:paraId="00C6A06D" w14:textId="77777777" w:rsidR="000524E8" w:rsidRPr="000524E8" w:rsidRDefault="000524E8" w:rsidP="009856C4">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p w14:paraId="5F051511" w14:textId="77777777" w:rsidR="000524E8" w:rsidRPr="000524E8" w:rsidRDefault="000524E8" w:rsidP="009856C4">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p w14:paraId="6106121B" w14:textId="77777777" w:rsidR="000524E8" w:rsidRPr="000524E8" w:rsidRDefault="000524E8" w:rsidP="009856C4">
            <w:pP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w:t>
            </w:r>
          </w:p>
        </w:tc>
        <w:tc>
          <w:tcPr>
            <w:tcW w:w="4675" w:type="dxa"/>
          </w:tcPr>
          <w:p w14:paraId="40F16E73" w14:textId="77777777" w:rsidR="000524E8" w:rsidRPr="000524E8" w:rsidRDefault="000524E8" w:rsidP="009856C4">
            <w:pPr>
              <w:jc w:val="center"/>
              <w:rPr>
                <w:rFonts w:ascii="Times New Roman" w:hAnsi="Times New Roman" w:cs="Times New Roman"/>
                <w:b/>
                <w:bCs/>
                <w:sz w:val="24"/>
                <w:szCs w:val="24"/>
                <w:shd w:val="clear" w:color="auto" w:fill="FFFFFF"/>
              </w:rPr>
            </w:pPr>
            <w:r w:rsidRPr="000524E8">
              <w:rPr>
                <w:rFonts w:ascii="Times New Roman" w:hAnsi="Times New Roman" w:cs="Times New Roman"/>
                <w:b/>
                <w:bCs/>
                <w:sz w:val="24"/>
                <w:szCs w:val="24"/>
                <w:shd w:val="clear" w:color="auto" w:fill="FFFFFF"/>
              </w:rPr>
              <w:t>PUBLIC UTILITY COMMISSION OF                                  TEXAS</w:t>
            </w:r>
          </w:p>
        </w:tc>
      </w:tr>
    </w:tbl>
    <w:p w14:paraId="394625F6" w14:textId="77777777" w:rsidR="000524E8" w:rsidRPr="000524E8" w:rsidRDefault="000524E8" w:rsidP="000524E8">
      <w:pPr>
        <w:rPr>
          <w:rFonts w:ascii="Times New Roman" w:hAnsi="Times New Roman" w:cs="Times New Roman"/>
          <w:sz w:val="24"/>
          <w:szCs w:val="24"/>
          <w:shd w:val="clear" w:color="auto" w:fill="FFFFFF"/>
        </w:rPr>
      </w:pPr>
    </w:p>
    <w:p w14:paraId="4DAC2001" w14:textId="5F54AFB6" w:rsidR="00735456" w:rsidRPr="00CB16EE" w:rsidRDefault="00735456" w:rsidP="000524E8">
      <w:pPr>
        <w:jc w:val="center"/>
        <w:rPr>
          <w:rFonts w:ascii="Times New Roman" w:hAnsi="Times New Roman" w:cs="Times New Roman"/>
          <w:b/>
          <w:bCs/>
          <w:sz w:val="24"/>
          <w:szCs w:val="24"/>
          <w:u w:val="single"/>
          <w:shd w:val="clear" w:color="auto" w:fill="FFFFFF"/>
        </w:rPr>
      </w:pPr>
      <w:r w:rsidRPr="00CB16EE">
        <w:rPr>
          <w:rFonts w:ascii="Times New Roman" w:hAnsi="Times New Roman" w:cs="Times New Roman"/>
          <w:b/>
          <w:bCs/>
          <w:sz w:val="24"/>
          <w:szCs w:val="24"/>
          <w:u w:val="single"/>
          <w:shd w:val="clear" w:color="auto" w:fill="FFFFFF"/>
        </w:rPr>
        <w:t>COMMENTS BY HUNT ENERGY NETWORK L.L.C</w:t>
      </w:r>
    </w:p>
    <w:p w14:paraId="532B1699" w14:textId="22AFCF30" w:rsidR="000524E8" w:rsidRPr="00CB16EE" w:rsidRDefault="007A27F6" w:rsidP="000524E8">
      <w:pPr>
        <w:jc w:val="center"/>
        <w:rPr>
          <w:rFonts w:ascii="Times New Roman" w:hAnsi="Times New Roman" w:cs="Times New Roman"/>
          <w:b/>
          <w:bCs/>
          <w:sz w:val="24"/>
          <w:szCs w:val="24"/>
          <w:u w:val="single"/>
          <w:shd w:val="clear" w:color="auto" w:fill="FFFFFF"/>
        </w:rPr>
      </w:pPr>
      <w:r w:rsidRPr="00CB16EE">
        <w:rPr>
          <w:rFonts w:ascii="Times New Roman" w:hAnsi="Times New Roman" w:cs="Times New Roman"/>
          <w:b/>
          <w:bCs/>
          <w:sz w:val="24"/>
          <w:szCs w:val="24"/>
          <w:u w:val="single"/>
          <w:shd w:val="clear" w:color="auto" w:fill="FFFFFF"/>
        </w:rPr>
        <w:t>EXECUTIVE SUMMARY</w:t>
      </w:r>
    </w:p>
    <w:p w14:paraId="7B7F2BD0" w14:textId="77777777" w:rsidR="009661B3" w:rsidRPr="00811168" w:rsidRDefault="009661B3" w:rsidP="009661B3">
      <w:pPr>
        <w:rPr>
          <w:rFonts w:ascii="Times New Roman" w:hAnsi="Times New Roman" w:cs="Times New Roman"/>
          <w:sz w:val="24"/>
          <w:szCs w:val="24"/>
        </w:rPr>
      </w:pPr>
    </w:p>
    <w:p w14:paraId="6D3790A9" w14:textId="1DDD3703" w:rsidR="00FB60CE" w:rsidRPr="00811168" w:rsidRDefault="001170CA" w:rsidP="009661B3">
      <w:pPr>
        <w:rPr>
          <w:rFonts w:ascii="Times New Roman" w:hAnsi="Times New Roman" w:cs="Times New Roman"/>
          <w:sz w:val="24"/>
          <w:szCs w:val="24"/>
        </w:rPr>
      </w:pPr>
      <w:r w:rsidRPr="00811168">
        <w:rPr>
          <w:rFonts w:ascii="Times New Roman" w:hAnsi="Times New Roman" w:cs="Times New Roman"/>
          <w:sz w:val="24"/>
          <w:szCs w:val="24"/>
        </w:rPr>
        <w:tab/>
      </w:r>
      <w:r w:rsidR="00361287" w:rsidRPr="00811168">
        <w:rPr>
          <w:rFonts w:ascii="Times New Roman" w:hAnsi="Times New Roman" w:cs="Times New Roman"/>
          <w:sz w:val="24"/>
          <w:szCs w:val="24"/>
        </w:rPr>
        <w:t xml:space="preserve">As </w:t>
      </w:r>
      <w:r w:rsidR="008E706F" w:rsidRPr="00811168">
        <w:rPr>
          <w:rFonts w:ascii="Times New Roman" w:hAnsi="Times New Roman" w:cs="Times New Roman"/>
          <w:sz w:val="24"/>
          <w:szCs w:val="24"/>
        </w:rPr>
        <w:t>described</w:t>
      </w:r>
      <w:r w:rsidR="00361287" w:rsidRPr="00811168">
        <w:rPr>
          <w:rFonts w:ascii="Times New Roman" w:hAnsi="Times New Roman" w:cs="Times New Roman"/>
          <w:sz w:val="24"/>
          <w:szCs w:val="24"/>
        </w:rPr>
        <w:t xml:space="preserve"> by NERC</w:t>
      </w:r>
      <w:r w:rsidR="008E706F" w:rsidRPr="00811168">
        <w:rPr>
          <w:rFonts w:ascii="Times New Roman" w:hAnsi="Times New Roman" w:cs="Times New Roman"/>
          <w:sz w:val="24"/>
          <w:szCs w:val="24"/>
        </w:rPr>
        <w:t>, Reliability Standards</w:t>
      </w:r>
      <w:r w:rsidR="00361287" w:rsidRPr="00811168">
        <w:rPr>
          <w:rFonts w:ascii="Times New Roman" w:hAnsi="Times New Roman" w:cs="Times New Roman"/>
          <w:sz w:val="24"/>
          <w:szCs w:val="24"/>
        </w:rPr>
        <w:t xml:space="preserve"> </w:t>
      </w:r>
      <w:r w:rsidR="008E706F" w:rsidRPr="00811168">
        <w:rPr>
          <w:rFonts w:ascii="Times New Roman" w:hAnsi="Times New Roman" w:cs="Times New Roman"/>
          <w:sz w:val="24"/>
          <w:szCs w:val="24"/>
        </w:rPr>
        <w:t>define</w:t>
      </w:r>
      <w:r w:rsidR="00161E08" w:rsidRPr="00811168">
        <w:rPr>
          <w:rFonts w:ascii="Times New Roman" w:hAnsi="Times New Roman" w:cs="Times New Roman"/>
          <w:sz w:val="24"/>
          <w:szCs w:val="24"/>
        </w:rPr>
        <w:t xml:space="preserve"> the reliability requirements for planning and operating a bulk power system and are developed using a results-based approach that focuses on performance, risk management and entity capabilities</w:t>
      </w:r>
      <w:r w:rsidR="000C3417">
        <w:rPr>
          <w:rStyle w:val="FootnoteReference"/>
          <w:rFonts w:ascii="Times New Roman" w:hAnsi="Times New Roman" w:cs="Times New Roman"/>
          <w:sz w:val="24"/>
          <w:szCs w:val="24"/>
        </w:rPr>
        <w:footnoteReference w:id="1"/>
      </w:r>
      <w:r w:rsidR="00161E08" w:rsidRPr="00811168">
        <w:rPr>
          <w:rFonts w:ascii="Times New Roman" w:hAnsi="Times New Roman" w:cs="Times New Roman"/>
          <w:sz w:val="24"/>
          <w:szCs w:val="24"/>
        </w:rPr>
        <w:t xml:space="preserve">. </w:t>
      </w:r>
      <w:r w:rsidR="0003007E" w:rsidRPr="00811168">
        <w:rPr>
          <w:rFonts w:ascii="Times New Roman" w:hAnsi="Times New Roman" w:cs="Times New Roman"/>
          <w:sz w:val="24"/>
          <w:szCs w:val="24"/>
        </w:rPr>
        <w:t xml:space="preserve">The </w:t>
      </w:r>
      <w:r w:rsidR="009D6048">
        <w:rPr>
          <w:rFonts w:ascii="Times New Roman" w:hAnsi="Times New Roman" w:cs="Times New Roman"/>
          <w:sz w:val="24"/>
          <w:szCs w:val="24"/>
        </w:rPr>
        <w:t>Commission</w:t>
      </w:r>
      <w:r w:rsidR="0003007E" w:rsidRPr="00811168">
        <w:rPr>
          <w:rFonts w:ascii="Times New Roman" w:hAnsi="Times New Roman" w:cs="Times New Roman"/>
          <w:sz w:val="24"/>
          <w:szCs w:val="24"/>
        </w:rPr>
        <w:t xml:space="preserve"> is taking the critical step </w:t>
      </w:r>
      <w:r w:rsidR="0041166F" w:rsidRPr="00811168">
        <w:rPr>
          <w:rFonts w:ascii="Times New Roman" w:hAnsi="Times New Roman" w:cs="Times New Roman"/>
          <w:sz w:val="24"/>
          <w:szCs w:val="24"/>
        </w:rPr>
        <w:t>to define the reliability requirements</w:t>
      </w:r>
      <w:r w:rsidR="009D6048">
        <w:rPr>
          <w:rFonts w:ascii="Times New Roman" w:hAnsi="Times New Roman" w:cs="Times New Roman"/>
          <w:sz w:val="24"/>
          <w:szCs w:val="24"/>
        </w:rPr>
        <w:t xml:space="preserve"> for our market</w:t>
      </w:r>
      <w:r w:rsidR="0093781C" w:rsidRPr="00811168">
        <w:rPr>
          <w:rFonts w:ascii="Times New Roman" w:hAnsi="Times New Roman" w:cs="Times New Roman"/>
          <w:sz w:val="24"/>
          <w:szCs w:val="24"/>
        </w:rPr>
        <w:t xml:space="preserve">, </w:t>
      </w:r>
      <w:r w:rsidR="0029329D" w:rsidRPr="00811168">
        <w:rPr>
          <w:rFonts w:ascii="Times New Roman" w:hAnsi="Times New Roman" w:cs="Times New Roman"/>
          <w:sz w:val="24"/>
          <w:szCs w:val="24"/>
        </w:rPr>
        <w:t>ensur</w:t>
      </w:r>
      <w:r w:rsidR="004E22F6" w:rsidRPr="00811168">
        <w:rPr>
          <w:rFonts w:ascii="Times New Roman" w:hAnsi="Times New Roman" w:cs="Times New Roman"/>
          <w:sz w:val="24"/>
          <w:szCs w:val="24"/>
        </w:rPr>
        <w:t>ing</w:t>
      </w:r>
      <w:r w:rsidR="0029329D" w:rsidRPr="00811168">
        <w:rPr>
          <w:rFonts w:ascii="Times New Roman" w:hAnsi="Times New Roman" w:cs="Times New Roman"/>
          <w:sz w:val="24"/>
          <w:szCs w:val="24"/>
        </w:rPr>
        <w:t xml:space="preserve"> </w:t>
      </w:r>
      <w:r w:rsidR="0093781C" w:rsidRPr="00811168">
        <w:rPr>
          <w:rFonts w:ascii="Times New Roman" w:hAnsi="Times New Roman" w:cs="Times New Roman"/>
          <w:sz w:val="24"/>
          <w:szCs w:val="24"/>
        </w:rPr>
        <w:t xml:space="preserve">that </w:t>
      </w:r>
      <w:r w:rsidR="0029329D" w:rsidRPr="00811168">
        <w:rPr>
          <w:rFonts w:ascii="Times New Roman" w:hAnsi="Times New Roman" w:cs="Times New Roman"/>
          <w:sz w:val="24"/>
          <w:szCs w:val="24"/>
        </w:rPr>
        <w:t>ERCOT continues to be</w:t>
      </w:r>
      <w:r w:rsidR="004E22F6" w:rsidRPr="00811168">
        <w:rPr>
          <w:rFonts w:ascii="Times New Roman" w:hAnsi="Times New Roman" w:cs="Times New Roman"/>
          <w:sz w:val="24"/>
          <w:szCs w:val="24"/>
        </w:rPr>
        <w:t xml:space="preserve"> a market leader well into the future.</w:t>
      </w:r>
    </w:p>
    <w:p w14:paraId="73C5BA43" w14:textId="4013DCE2" w:rsidR="009661B3" w:rsidRPr="00811168" w:rsidRDefault="00FB60CE" w:rsidP="009661B3">
      <w:pPr>
        <w:rPr>
          <w:rFonts w:ascii="Times New Roman" w:hAnsi="Times New Roman" w:cs="Times New Roman"/>
          <w:sz w:val="24"/>
          <w:szCs w:val="24"/>
        </w:rPr>
      </w:pPr>
      <w:r w:rsidRPr="00811168">
        <w:rPr>
          <w:rFonts w:ascii="Times New Roman" w:hAnsi="Times New Roman" w:cs="Times New Roman"/>
          <w:sz w:val="24"/>
          <w:szCs w:val="24"/>
        </w:rPr>
        <w:tab/>
      </w:r>
      <w:r w:rsidR="0081124E" w:rsidRPr="00811168">
        <w:rPr>
          <w:rFonts w:ascii="Times New Roman" w:hAnsi="Times New Roman" w:cs="Times New Roman"/>
          <w:sz w:val="24"/>
          <w:szCs w:val="24"/>
        </w:rPr>
        <w:t xml:space="preserve">Previous </w:t>
      </w:r>
      <w:r w:rsidR="002E0A76" w:rsidRPr="00811168">
        <w:rPr>
          <w:rFonts w:ascii="Times New Roman" w:hAnsi="Times New Roman" w:cs="Times New Roman"/>
          <w:sz w:val="24"/>
          <w:szCs w:val="24"/>
        </w:rPr>
        <w:t xml:space="preserve">standards </w:t>
      </w:r>
      <w:r w:rsidR="00A1753A" w:rsidRPr="00811168">
        <w:rPr>
          <w:rFonts w:ascii="Times New Roman" w:hAnsi="Times New Roman" w:cs="Times New Roman"/>
          <w:sz w:val="24"/>
          <w:szCs w:val="24"/>
        </w:rPr>
        <w:t>only accounted for the number of days of lost load</w:t>
      </w:r>
      <w:r w:rsidR="006A2A1B" w:rsidRPr="00811168">
        <w:rPr>
          <w:rFonts w:ascii="Times New Roman" w:hAnsi="Times New Roman" w:cs="Times New Roman"/>
          <w:sz w:val="24"/>
          <w:szCs w:val="24"/>
        </w:rPr>
        <w:t xml:space="preserve"> (Loss of Load Expectation)</w:t>
      </w:r>
      <w:r w:rsidR="00A1753A" w:rsidRPr="00811168">
        <w:rPr>
          <w:rFonts w:ascii="Times New Roman" w:hAnsi="Times New Roman" w:cs="Times New Roman"/>
          <w:sz w:val="24"/>
          <w:szCs w:val="24"/>
        </w:rPr>
        <w:t xml:space="preserve">. </w:t>
      </w:r>
      <w:r w:rsidRPr="00811168">
        <w:rPr>
          <w:rFonts w:ascii="Times New Roman" w:hAnsi="Times New Roman" w:cs="Times New Roman"/>
          <w:sz w:val="24"/>
          <w:szCs w:val="24"/>
        </w:rPr>
        <w:t>Toward that end, Hunt Energy Network, L.L.C.</w:t>
      </w:r>
      <w:r w:rsidR="00C5329E" w:rsidRPr="00811168">
        <w:rPr>
          <w:rFonts w:ascii="Times New Roman" w:hAnsi="Times New Roman" w:cs="Times New Roman"/>
          <w:sz w:val="24"/>
          <w:szCs w:val="24"/>
        </w:rPr>
        <w:t xml:space="preserve"> (“HEN”)</w:t>
      </w:r>
      <w:r w:rsidR="00C119A2" w:rsidRPr="00811168">
        <w:rPr>
          <w:rFonts w:ascii="Times New Roman" w:hAnsi="Times New Roman" w:cs="Times New Roman"/>
          <w:sz w:val="24"/>
          <w:szCs w:val="24"/>
        </w:rPr>
        <w:t xml:space="preserve"> </w:t>
      </w:r>
      <w:r w:rsidR="00CD4AEF" w:rsidRPr="00811168">
        <w:rPr>
          <w:rFonts w:ascii="Times New Roman" w:hAnsi="Times New Roman" w:cs="Times New Roman"/>
          <w:sz w:val="24"/>
          <w:szCs w:val="24"/>
        </w:rPr>
        <w:t xml:space="preserve">recommends </w:t>
      </w:r>
      <w:r w:rsidR="009B116C" w:rsidRPr="00811168">
        <w:rPr>
          <w:rFonts w:ascii="Times New Roman" w:hAnsi="Times New Roman" w:cs="Times New Roman"/>
          <w:sz w:val="24"/>
          <w:szCs w:val="24"/>
        </w:rPr>
        <w:t xml:space="preserve">that ERCOT </w:t>
      </w:r>
      <w:r w:rsidR="00C119A2" w:rsidRPr="00811168">
        <w:rPr>
          <w:rFonts w:ascii="Times New Roman" w:hAnsi="Times New Roman" w:cs="Times New Roman"/>
          <w:sz w:val="24"/>
          <w:szCs w:val="24"/>
        </w:rPr>
        <w:t xml:space="preserve">adopt </w:t>
      </w:r>
      <w:r w:rsidR="005112C3" w:rsidRPr="00811168">
        <w:rPr>
          <w:rFonts w:ascii="Times New Roman" w:hAnsi="Times New Roman" w:cs="Times New Roman"/>
          <w:sz w:val="24"/>
          <w:szCs w:val="24"/>
        </w:rPr>
        <w:t xml:space="preserve">the Expected Unserved Energy </w:t>
      </w:r>
      <w:r w:rsidR="00EC3EC7" w:rsidRPr="00811168">
        <w:rPr>
          <w:rFonts w:ascii="Times New Roman" w:hAnsi="Times New Roman" w:cs="Times New Roman"/>
          <w:sz w:val="24"/>
          <w:szCs w:val="24"/>
        </w:rPr>
        <w:t>(</w:t>
      </w:r>
      <w:r w:rsidR="00E27ED2">
        <w:rPr>
          <w:rFonts w:ascii="Times New Roman" w:hAnsi="Times New Roman" w:cs="Times New Roman"/>
          <w:sz w:val="24"/>
          <w:szCs w:val="24"/>
        </w:rPr>
        <w:t>“</w:t>
      </w:r>
      <w:r w:rsidR="00EC3EC7" w:rsidRPr="00811168">
        <w:rPr>
          <w:rFonts w:ascii="Times New Roman" w:hAnsi="Times New Roman" w:cs="Times New Roman"/>
          <w:sz w:val="24"/>
          <w:szCs w:val="24"/>
        </w:rPr>
        <w:t>EUE</w:t>
      </w:r>
      <w:r w:rsidR="00E27ED2">
        <w:rPr>
          <w:rFonts w:ascii="Times New Roman" w:hAnsi="Times New Roman" w:cs="Times New Roman"/>
          <w:sz w:val="24"/>
          <w:szCs w:val="24"/>
        </w:rPr>
        <w:t>”</w:t>
      </w:r>
      <w:r w:rsidR="00EC3EC7" w:rsidRPr="00811168">
        <w:rPr>
          <w:rFonts w:ascii="Times New Roman" w:hAnsi="Times New Roman" w:cs="Times New Roman"/>
          <w:sz w:val="24"/>
          <w:szCs w:val="24"/>
        </w:rPr>
        <w:t xml:space="preserve">) </w:t>
      </w:r>
      <w:r w:rsidR="005112C3" w:rsidRPr="00811168">
        <w:rPr>
          <w:rFonts w:ascii="Times New Roman" w:hAnsi="Times New Roman" w:cs="Times New Roman"/>
          <w:sz w:val="24"/>
          <w:szCs w:val="24"/>
        </w:rPr>
        <w:t xml:space="preserve">standard, </w:t>
      </w:r>
      <w:r w:rsidR="009565D5" w:rsidRPr="00811168">
        <w:rPr>
          <w:rFonts w:ascii="Times New Roman" w:hAnsi="Times New Roman" w:cs="Times New Roman"/>
          <w:sz w:val="24"/>
          <w:szCs w:val="24"/>
        </w:rPr>
        <w:t>which</w:t>
      </w:r>
      <w:r w:rsidR="00C119A2" w:rsidRPr="00811168">
        <w:rPr>
          <w:rFonts w:ascii="Times New Roman" w:hAnsi="Times New Roman" w:cs="Times New Roman"/>
          <w:sz w:val="24"/>
          <w:szCs w:val="24"/>
        </w:rPr>
        <w:t xml:space="preserve"> </w:t>
      </w:r>
      <w:r w:rsidR="003119CF" w:rsidRPr="00811168">
        <w:rPr>
          <w:rFonts w:ascii="Times New Roman" w:hAnsi="Times New Roman" w:cs="Times New Roman"/>
          <w:sz w:val="24"/>
          <w:szCs w:val="24"/>
        </w:rPr>
        <w:t xml:space="preserve">requires a wholistic view of the evolving </w:t>
      </w:r>
      <w:r w:rsidR="009B116C" w:rsidRPr="00811168">
        <w:rPr>
          <w:rFonts w:ascii="Times New Roman" w:hAnsi="Times New Roman" w:cs="Times New Roman"/>
          <w:sz w:val="24"/>
          <w:szCs w:val="24"/>
        </w:rPr>
        <w:t xml:space="preserve">dynamics of </w:t>
      </w:r>
      <w:r w:rsidR="007F72C1" w:rsidRPr="00811168">
        <w:rPr>
          <w:rFonts w:ascii="Times New Roman" w:hAnsi="Times New Roman" w:cs="Times New Roman"/>
          <w:sz w:val="24"/>
          <w:szCs w:val="24"/>
        </w:rPr>
        <w:t>our system.</w:t>
      </w:r>
      <w:r w:rsidR="0081124E" w:rsidRPr="00811168">
        <w:rPr>
          <w:rFonts w:ascii="Times New Roman" w:hAnsi="Times New Roman" w:cs="Times New Roman"/>
          <w:sz w:val="24"/>
          <w:szCs w:val="24"/>
        </w:rPr>
        <w:t xml:space="preserve"> </w:t>
      </w:r>
      <w:r w:rsidR="005510C1">
        <w:rPr>
          <w:rFonts w:ascii="Times New Roman" w:hAnsi="Times New Roman" w:cs="Times New Roman"/>
          <w:sz w:val="24"/>
          <w:szCs w:val="24"/>
        </w:rPr>
        <w:t>The EUE standard incorporates the following three reliability study metrics that have been proposed by ERCOT</w:t>
      </w:r>
      <w:r w:rsidR="00026804">
        <w:rPr>
          <w:rFonts w:ascii="Times New Roman" w:hAnsi="Times New Roman" w:cs="Times New Roman"/>
          <w:sz w:val="24"/>
          <w:szCs w:val="24"/>
        </w:rPr>
        <w:t>:</w:t>
      </w:r>
      <w:r w:rsidR="009565D5" w:rsidRPr="00811168">
        <w:rPr>
          <w:rFonts w:ascii="Times New Roman" w:hAnsi="Times New Roman" w:cs="Times New Roman"/>
          <w:sz w:val="24"/>
          <w:szCs w:val="24"/>
        </w:rPr>
        <w:t xml:space="preserve"> </w:t>
      </w:r>
    </w:p>
    <w:p w14:paraId="453BDE0E" w14:textId="77777777" w:rsidR="006E5051" w:rsidRDefault="006E5051" w:rsidP="006E5051">
      <w:pPr>
        <w:pStyle w:val="ListParagraph"/>
        <w:numPr>
          <w:ilvl w:val="0"/>
          <w:numId w:val="7"/>
        </w:numPr>
        <w:spacing w:line="360" w:lineRule="auto"/>
        <w:jc w:val="both"/>
        <w:rPr>
          <w:rFonts w:ascii="Times New Roman" w:hAnsi="Times New Roman" w:cs="Times New Roman"/>
          <w:sz w:val="24"/>
          <w:szCs w:val="24"/>
        </w:rPr>
      </w:pPr>
      <w:r w:rsidRPr="002708E0">
        <w:rPr>
          <w:rFonts w:ascii="Times New Roman" w:hAnsi="Times New Roman" w:cs="Times New Roman"/>
          <w:b/>
          <w:bCs/>
          <w:sz w:val="24"/>
          <w:szCs w:val="24"/>
        </w:rPr>
        <w:t>Magnitude</w:t>
      </w:r>
      <w:r w:rsidRPr="002708E0">
        <w:rPr>
          <w:rFonts w:ascii="Times New Roman" w:hAnsi="Times New Roman" w:cs="Times New Roman"/>
          <w:sz w:val="24"/>
          <w:szCs w:val="24"/>
        </w:rPr>
        <w:t>: Maximum load that can be rotated for any event should not exceed x% of peak (~x MW for today);</w:t>
      </w:r>
    </w:p>
    <w:p w14:paraId="24C2A49E" w14:textId="77777777" w:rsidR="006E5051" w:rsidRDefault="006E5051" w:rsidP="006E5051">
      <w:pPr>
        <w:pStyle w:val="ListParagraph"/>
        <w:numPr>
          <w:ilvl w:val="0"/>
          <w:numId w:val="7"/>
        </w:numPr>
        <w:spacing w:line="360" w:lineRule="auto"/>
        <w:jc w:val="both"/>
        <w:rPr>
          <w:rFonts w:ascii="Times New Roman" w:hAnsi="Times New Roman" w:cs="Times New Roman"/>
          <w:sz w:val="24"/>
          <w:szCs w:val="24"/>
        </w:rPr>
      </w:pPr>
      <w:r w:rsidRPr="002708E0">
        <w:rPr>
          <w:rFonts w:ascii="Times New Roman" w:hAnsi="Times New Roman" w:cs="Times New Roman"/>
          <w:b/>
          <w:bCs/>
          <w:sz w:val="24"/>
          <w:szCs w:val="24"/>
        </w:rPr>
        <w:t>Frequency</w:t>
      </w:r>
      <w:r w:rsidRPr="002708E0">
        <w:rPr>
          <w:rFonts w:ascii="Times New Roman" w:hAnsi="Times New Roman" w:cs="Times New Roman"/>
          <w:sz w:val="24"/>
          <w:szCs w:val="24"/>
        </w:rPr>
        <w:t xml:space="preserve">: Load Shed events for generator inadequacy should not occur more than once in x years; and </w:t>
      </w:r>
    </w:p>
    <w:p w14:paraId="5A31F998" w14:textId="77777777" w:rsidR="006E5051" w:rsidRPr="002708E0" w:rsidRDefault="006E5051" w:rsidP="006E5051">
      <w:pPr>
        <w:pStyle w:val="ListParagraph"/>
        <w:numPr>
          <w:ilvl w:val="0"/>
          <w:numId w:val="7"/>
        </w:numPr>
        <w:spacing w:line="360" w:lineRule="auto"/>
        <w:jc w:val="both"/>
        <w:rPr>
          <w:rFonts w:ascii="Times New Roman" w:hAnsi="Times New Roman" w:cs="Times New Roman"/>
          <w:sz w:val="24"/>
          <w:szCs w:val="24"/>
        </w:rPr>
      </w:pPr>
      <w:r w:rsidRPr="002708E0">
        <w:rPr>
          <w:rFonts w:ascii="Times New Roman" w:hAnsi="Times New Roman" w:cs="Times New Roman"/>
          <w:b/>
          <w:bCs/>
          <w:sz w:val="24"/>
          <w:szCs w:val="24"/>
        </w:rPr>
        <w:t>Duration</w:t>
      </w:r>
      <w:r w:rsidRPr="002708E0">
        <w:rPr>
          <w:rFonts w:ascii="Times New Roman" w:hAnsi="Times New Roman" w:cs="Times New Roman"/>
          <w:sz w:val="24"/>
          <w:szCs w:val="24"/>
        </w:rPr>
        <w:t>: Any Load Shed event should not last for more than x hours.</w:t>
      </w:r>
    </w:p>
    <w:p w14:paraId="79D05211" w14:textId="77777777" w:rsidR="00ED71E8" w:rsidRPr="00811168" w:rsidRDefault="00ED71E8" w:rsidP="00492FFF">
      <w:pPr>
        <w:spacing w:after="0" w:line="240" w:lineRule="auto"/>
        <w:rPr>
          <w:rFonts w:ascii="Times New Roman" w:hAnsi="Times New Roman" w:cs="Times New Roman"/>
          <w:sz w:val="24"/>
          <w:szCs w:val="24"/>
        </w:rPr>
      </w:pPr>
    </w:p>
    <w:p w14:paraId="1EA2B2D4" w14:textId="23DF8DE7" w:rsidR="00EC3EC7" w:rsidRPr="00EB2535" w:rsidRDefault="00EC3EC7" w:rsidP="00492FFF">
      <w:pPr>
        <w:spacing w:after="0" w:line="240" w:lineRule="auto"/>
        <w:rPr>
          <w:rFonts w:ascii="Times New Roman" w:hAnsi="Times New Roman" w:cs="Times New Roman"/>
          <w:b/>
          <w:bCs/>
          <w:sz w:val="24"/>
          <w:szCs w:val="24"/>
        </w:rPr>
      </w:pPr>
      <w:r w:rsidRPr="00811168">
        <w:rPr>
          <w:rFonts w:ascii="Times New Roman" w:hAnsi="Times New Roman" w:cs="Times New Roman"/>
          <w:sz w:val="24"/>
          <w:szCs w:val="24"/>
        </w:rPr>
        <w:t>Th</w:t>
      </w:r>
      <w:r w:rsidR="00D12ABC" w:rsidRPr="00811168">
        <w:rPr>
          <w:rFonts w:ascii="Times New Roman" w:hAnsi="Times New Roman" w:cs="Times New Roman"/>
          <w:sz w:val="24"/>
          <w:szCs w:val="24"/>
        </w:rPr>
        <w:t>r</w:t>
      </w:r>
      <w:r w:rsidRPr="00811168">
        <w:rPr>
          <w:rFonts w:ascii="Times New Roman" w:hAnsi="Times New Roman" w:cs="Times New Roman"/>
          <w:sz w:val="24"/>
          <w:szCs w:val="24"/>
        </w:rPr>
        <w:t xml:space="preserve">ough this </w:t>
      </w:r>
      <w:r w:rsidR="00D12ABC" w:rsidRPr="00811168">
        <w:rPr>
          <w:rFonts w:ascii="Times New Roman" w:hAnsi="Times New Roman" w:cs="Times New Roman"/>
          <w:sz w:val="24"/>
          <w:szCs w:val="24"/>
        </w:rPr>
        <w:t>standard</w:t>
      </w:r>
      <w:r w:rsidR="00383618" w:rsidRPr="00811168">
        <w:rPr>
          <w:rFonts w:ascii="Times New Roman" w:hAnsi="Times New Roman" w:cs="Times New Roman"/>
          <w:sz w:val="24"/>
          <w:szCs w:val="24"/>
        </w:rPr>
        <w:t xml:space="preserve">, ERCOT can consider </w:t>
      </w:r>
      <w:r w:rsidR="006C15BF" w:rsidRPr="00811168">
        <w:rPr>
          <w:rFonts w:ascii="Times New Roman" w:hAnsi="Times New Roman" w:cs="Times New Roman"/>
          <w:sz w:val="24"/>
          <w:szCs w:val="24"/>
        </w:rPr>
        <w:t xml:space="preserve">a deliverability standard by which all </w:t>
      </w:r>
      <w:r w:rsidR="000273EB" w:rsidRPr="00811168">
        <w:rPr>
          <w:rFonts w:ascii="Times New Roman" w:hAnsi="Times New Roman" w:cs="Times New Roman"/>
          <w:sz w:val="24"/>
          <w:szCs w:val="24"/>
        </w:rPr>
        <w:t xml:space="preserve">– large and small - </w:t>
      </w:r>
      <w:r w:rsidR="006C15BF" w:rsidRPr="00811168">
        <w:rPr>
          <w:rFonts w:ascii="Times New Roman" w:hAnsi="Times New Roman" w:cs="Times New Roman"/>
          <w:sz w:val="24"/>
          <w:szCs w:val="24"/>
        </w:rPr>
        <w:t xml:space="preserve">eligible resources </w:t>
      </w:r>
      <w:r w:rsidR="009D4536" w:rsidRPr="00811168">
        <w:rPr>
          <w:rFonts w:ascii="Times New Roman" w:hAnsi="Times New Roman" w:cs="Times New Roman"/>
          <w:sz w:val="24"/>
          <w:szCs w:val="24"/>
        </w:rPr>
        <w:t xml:space="preserve">can </w:t>
      </w:r>
      <w:r w:rsidR="000273EB" w:rsidRPr="00811168">
        <w:rPr>
          <w:rFonts w:ascii="Times New Roman" w:hAnsi="Times New Roman" w:cs="Times New Roman"/>
          <w:sz w:val="24"/>
          <w:szCs w:val="24"/>
        </w:rPr>
        <w:t xml:space="preserve">participate and contribute </w:t>
      </w:r>
      <w:r w:rsidR="00811168" w:rsidRPr="00811168">
        <w:rPr>
          <w:rFonts w:ascii="Times New Roman" w:hAnsi="Times New Roman" w:cs="Times New Roman"/>
          <w:sz w:val="24"/>
          <w:szCs w:val="24"/>
        </w:rPr>
        <w:t>to our robust Texas market</w:t>
      </w:r>
      <w:r w:rsidR="00811168">
        <w:rPr>
          <w:rFonts w:ascii="Times New Roman" w:hAnsi="Times New Roman" w:cs="Times New Roman"/>
          <w:b/>
          <w:bCs/>
          <w:sz w:val="24"/>
          <w:szCs w:val="24"/>
        </w:rPr>
        <w:t xml:space="preserve">. </w:t>
      </w:r>
    </w:p>
    <w:sectPr w:rsidR="00EC3EC7" w:rsidRPr="00EB25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2F31D" w14:textId="77777777" w:rsidR="00B305EA" w:rsidRDefault="00B305EA" w:rsidP="00EB3E80">
      <w:pPr>
        <w:spacing w:after="0" w:line="240" w:lineRule="auto"/>
      </w:pPr>
      <w:r>
        <w:separator/>
      </w:r>
    </w:p>
  </w:endnote>
  <w:endnote w:type="continuationSeparator" w:id="0">
    <w:p w14:paraId="41A6E871" w14:textId="77777777" w:rsidR="00B305EA" w:rsidRDefault="00B305EA" w:rsidP="00EB3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135A0" w14:textId="77777777" w:rsidR="00B305EA" w:rsidRDefault="00B305EA" w:rsidP="00EB3E80">
      <w:pPr>
        <w:spacing w:after="0" w:line="240" w:lineRule="auto"/>
      </w:pPr>
      <w:r>
        <w:separator/>
      </w:r>
    </w:p>
  </w:footnote>
  <w:footnote w:type="continuationSeparator" w:id="0">
    <w:p w14:paraId="766E46DE" w14:textId="77777777" w:rsidR="00B305EA" w:rsidRDefault="00B305EA" w:rsidP="00EB3E80">
      <w:pPr>
        <w:spacing w:after="0" w:line="240" w:lineRule="auto"/>
      </w:pPr>
      <w:r>
        <w:continuationSeparator/>
      </w:r>
    </w:p>
  </w:footnote>
  <w:footnote w:id="1">
    <w:p w14:paraId="4A94307A" w14:textId="566C7781" w:rsidR="000C3417" w:rsidRDefault="000C3417">
      <w:pPr>
        <w:pStyle w:val="FootnoteText"/>
      </w:pPr>
      <w:r>
        <w:rPr>
          <w:rStyle w:val="FootnoteReference"/>
        </w:rPr>
        <w:footnoteRef/>
      </w:r>
      <w:r>
        <w:t xml:space="preserve"> </w:t>
      </w:r>
      <w:r w:rsidRPr="000C3417">
        <w:t>https://www.nerc.com/pa/Stand/Pages/Default.aspx#:~:text=NERC%20Reliability%20Standards%20define%20the,risk%20management%2C%20and%20entity%20capabilities.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6AE1"/>
    <w:multiLevelType w:val="hybridMultilevel"/>
    <w:tmpl w:val="ADD086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1605141"/>
    <w:multiLevelType w:val="hybridMultilevel"/>
    <w:tmpl w:val="C3AAE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3565EA"/>
    <w:multiLevelType w:val="hybridMultilevel"/>
    <w:tmpl w:val="161C94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6F00AEF"/>
    <w:multiLevelType w:val="hybridMultilevel"/>
    <w:tmpl w:val="5A34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0DA"/>
    <w:multiLevelType w:val="hybridMultilevel"/>
    <w:tmpl w:val="BE74E91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41D7285D"/>
    <w:multiLevelType w:val="hybridMultilevel"/>
    <w:tmpl w:val="60FA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E0171"/>
    <w:multiLevelType w:val="hybridMultilevel"/>
    <w:tmpl w:val="F380F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0213586">
    <w:abstractNumId w:val="4"/>
  </w:num>
  <w:num w:numId="2" w16cid:durableId="1513452562">
    <w:abstractNumId w:val="3"/>
  </w:num>
  <w:num w:numId="3" w16cid:durableId="770049317">
    <w:abstractNumId w:val="0"/>
  </w:num>
  <w:num w:numId="4" w16cid:durableId="2102338702">
    <w:abstractNumId w:val="2"/>
  </w:num>
  <w:num w:numId="5" w16cid:durableId="1855068448">
    <w:abstractNumId w:val="1"/>
  </w:num>
  <w:num w:numId="6" w16cid:durableId="959529523">
    <w:abstractNumId w:val="6"/>
  </w:num>
  <w:num w:numId="7" w16cid:durableId="9079556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11E"/>
    <w:rsid w:val="00026804"/>
    <w:rsid w:val="000273EB"/>
    <w:rsid w:val="0003007E"/>
    <w:rsid w:val="000524E8"/>
    <w:rsid w:val="000C3417"/>
    <w:rsid w:val="000D24D5"/>
    <w:rsid w:val="00106CCB"/>
    <w:rsid w:val="001170CA"/>
    <w:rsid w:val="00161E08"/>
    <w:rsid w:val="00217F6A"/>
    <w:rsid w:val="002239C1"/>
    <w:rsid w:val="002708E0"/>
    <w:rsid w:val="0029329D"/>
    <w:rsid w:val="002D611E"/>
    <w:rsid w:val="002E0A76"/>
    <w:rsid w:val="003119CF"/>
    <w:rsid w:val="00323287"/>
    <w:rsid w:val="00361287"/>
    <w:rsid w:val="00366C6A"/>
    <w:rsid w:val="00383618"/>
    <w:rsid w:val="00394CBC"/>
    <w:rsid w:val="003A3B17"/>
    <w:rsid w:val="0041166F"/>
    <w:rsid w:val="0044591B"/>
    <w:rsid w:val="004465F1"/>
    <w:rsid w:val="004477DB"/>
    <w:rsid w:val="00492FFF"/>
    <w:rsid w:val="00496CFD"/>
    <w:rsid w:val="004E22F6"/>
    <w:rsid w:val="005112C3"/>
    <w:rsid w:val="005510C1"/>
    <w:rsid w:val="00561C30"/>
    <w:rsid w:val="00641041"/>
    <w:rsid w:val="0065042D"/>
    <w:rsid w:val="0067551F"/>
    <w:rsid w:val="006A2A1B"/>
    <w:rsid w:val="006C15BF"/>
    <w:rsid w:val="006E5051"/>
    <w:rsid w:val="007021E1"/>
    <w:rsid w:val="00735456"/>
    <w:rsid w:val="0073551A"/>
    <w:rsid w:val="007A27F6"/>
    <w:rsid w:val="007F1309"/>
    <w:rsid w:val="007F72C1"/>
    <w:rsid w:val="00811168"/>
    <w:rsid w:val="0081124E"/>
    <w:rsid w:val="008D5785"/>
    <w:rsid w:val="008E706F"/>
    <w:rsid w:val="0093781C"/>
    <w:rsid w:val="009565D5"/>
    <w:rsid w:val="009661B3"/>
    <w:rsid w:val="009B116C"/>
    <w:rsid w:val="009D4536"/>
    <w:rsid w:val="009D6048"/>
    <w:rsid w:val="00A143BD"/>
    <w:rsid w:val="00A1753A"/>
    <w:rsid w:val="00A42425"/>
    <w:rsid w:val="00AA0134"/>
    <w:rsid w:val="00AC1043"/>
    <w:rsid w:val="00AD55F6"/>
    <w:rsid w:val="00B05630"/>
    <w:rsid w:val="00B305EA"/>
    <w:rsid w:val="00BB1131"/>
    <w:rsid w:val="00C119A2"/>
    <w:rsid w:val="00C367FD"/>
    <w:rsid w:val="00C5329E"/>
    <w:rsid w:val="00C65BFA"/>
    <w:rsid w:val="00C713C6"/>
    <w:rsid w:val="00CB143D"/>
    <w:rsid w:val="00CB16EE"/>
    <w:rsid w:val="00CD4AEF"/>
    <w:rsid w:val="00D12ABC"/>
    <w:rsid w:val="00D2535C"/>
    <w:rsid w:val="00D40669"/>
    <w:rsid w:val="00D50456"/>
    <w:rsid w:val="00DF06C9"/>
    <w:rsid w:val="00E006C2"/>
    <w:rsid w:val="00E27ED2"/>
    <w:rsid w:val="00E43EC2"/>
    <w:rsid w:val="00E833CD"/>
    <w:rsid w:val="00EB2535"/>
    <w:rsid w:val="00EB3E80"/>
    <w:rsid w:val="00EC3EC7"/>
    <w:rsid w:val="00ED71E8"/>
    <w:rsid w:val="00F420A9"/>
    <w:rsid w:val="00F62C01"/>
    <w:rsid w:val="00F6664C"/>
    <w:rsid w:val="00F7195F"/>
    <w:rsid w:val="00F84A4A"/>
    <w:rsid w:val="00FB60CE"/>
    <w:rsid w:val="00FD3DD7"/>
    <w:rsid w:val="00FF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D1B1C"/>
  <w15:chartTrackingRefBased/>
  <w15:docId w15:val="{DA3FBF50-8AC8-402C-8075-9E4B6D42D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2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2FFF"/>
    <w:pPr>
      <w:ind w:left="720"/>
      <w:contextualSpacing/>
    </w:pPr>
  </w:style>
  <w:style w:type="paragraph" w:styleId="Revision">
    <w:name w:val="Revision"/>
    <w:hidden/>
    <w:uiPriority w:val="99"/>
    <w:semiHidden/>
    <w:rsid w:val="00C65BFA"/>
    <w:pPr>
      <w:spacing w:after="0" w:line="240" w:lineRule="auto"/>
    </w:pPr>
  </w:style>
  <w:style w:type="paragraph" w:styleId="FootnoteText">
    <w:name w:val="footnote text"/>
    <w:basedOn w:val="Normal"/>
    <w:link w:val="FootnoteTextChar"/>
    <w:uiPriority w:val="99"/>
    <w:semiHidden/>
    <w:unhideWhenUsed/>
    <w:rsid w:val="00EB3E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3E80"/>
    <w:rPr>
      <w:sz w:val="20"/>
      <w:szCs w:val="20"/>
    </w:rPr>
  </w:style>
  <w:style w:type="character" w:styleId="FootnoteReference">
    <w:name w:val="footnote reference"/>
    <w:basedOn w:val="DefaultParagraphFont"/>
    <w:uiPriority w:val="99"/>
    <w:semiHidden/>
    <w:unhideWhenUsed/>
    <w:rsid w:val="00EB3E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150b533-2c66-486d-99d6-8c73de3aaa0f" xsi:nil="true"/>
    <lcf76f155ced4ddcb4097134ff3c332f xmlns="5a777c81-547e-4a13-8cc2-3f7655b6426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91520C0E88A049BA230838797744A5" ma:contentTypeVersion="16" ma:contentTypeDescription="Create a new document." ma:contentTypeScope="" ma:versionID="038f74199d3de1ba65a2448e04589244">
  <xsd:schema xmlns:xsd="http://www.w3.org/2001/XMLSchema" xmlns:xs="http://www.w3.org/2001/XMLSchema" xmlns:p="http://schemas.microsoft.com/office/2006/metadata/properties" xmlns:ns2="5a777c81-547e-4a13-8cc2-3f7655b6426b" xmlns:ns3="cddc94ff-db41-4eb0-af71-9fac95c1936c" xmlns:ns4="a150b533-2c66-486d-99d6-8c73de3aaa0f" targetNamespace="http://schemas.microsoft.com/office/2006/metadata/properties" ma:root="true" ma:fieldsID="0584935e50b8ce4abc49c6d910ad6d5c" ns2:_="" ns3:_="" ns4:_="">
    <xsd:import namespace="5a777c81-547e-4a13-8cc2-3f7655b6426b"/>
    <xsd:import namespace="cddc94ff-db41-4eb0-af71-9fac95c1936c"/>
    <xsd:import namespace="a150b533-2c66-486d-99d6-8c73de3aaa0f"/>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77c81-547e-4a13-8cc2-3f7655b642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781383-0b76-4916-b038-7867f577cdb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ddc94ff-db41-4eb0-af71-9fac95c1936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50b533-2c66-486d-99d6-8c73de3aaa0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ff79395d-da69-471b-a4d3-00168e510a60}" ma:internalName="TaxCatchAll" ma:showField="CatchAllData" ma:web="cddc94ff-db41-4eb0-af71-9fac95c193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247FA-3815-4790-ACB2-89748C56A0E6}">
  <ds:schemaRefs>
    <ds:schemaRef ds:uri="http://schemas.microsoft.com/office/2006/metadata/properties"/>
    <ds:schemaRef ds:uri="http://schemas.microsoft.com/office/infopath/2007/PartnerControls"/>
    <ds:schemaRef ds:uri="a150b533-2c66-486d-99d6-8c73de3aaa0f"/>
    <ds:schemaRef ds:uri="5a777c81-547e-4a13-8cc2-3f7655b6426b"/>
  </ds:schemaRefs>
</ds:datastoreItem>
</file>

<file path=customXml/itemProps2.xml><?xml version="1.0" encoding="utf-8"?>
<ds:datastoreItem xmlns:ds="http://schemas.openxmlformats.org/officeDocument/2006/customXml" ds:itemID="{37D989C4-103C-4605-A018-93BA0F644183}">
  <ds:schemaRefs>
    <ds:schemaRef ds:uri="http://schemas.microsoft.com/sharepoint/v3/contenttype/forms"/>
  </ds:schemaRefs>
</ds:datastoreItem>
</file>

<file path=customXml/itemProps3.xml><?xml version="1.0" encoding="utf-8"?>
<ds:datastoreItem xmlns:ds="http://schemas.openxmlformats.org/officeDocument/2006/customXml" ds:itemID="{6A7F3E41-BB87-42F9-B2DB-44587DB95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77c81-547e-4a13-8cc2-3f7655b6426b"/>
    <ds:schemaRef ds:uri="cddc94ff-db41-4eb0-af71-9fac95c1936c"/>
    <ds:schemaRef ds:uri="a150b533-2c66-486d-99d6-8c73de3aa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5990E2-F231-4269-89B3-2068DAAD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Kroger</dc:creator>
  <cp:keywords/>
  <dc:description/>
  <cp:lastModifiedBy>Manny Uy</cp:lastModifiedBy>
  <cp:revision>51</cp:revision>
  <dcterms:created xsi:type="dcterms:W3CDTF">2023-03-28T20:08:00Z</dcterms:created>
  <dcterms:modified xsi:type="dcterms:W3CDTF">2023-03-29T17:07:00Z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0x0101005491520C0E88A049BA230838797744A5</vt:lpwstr>
  </property>
  <property fmtid="{D5CDD505-2E9C-101B-9397-08002B2CF9AE}" pid="3" name="MediaServiceImageTags">
    <vt:lpwstr/>
  </property>
</Properties>
</file>